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71C4" w14:textId="77777777" w:rsidR="0010570E" w:rsidRDefault="0010570E" w:rsidP="00893A9C">
      <w:pPr>
        <w:pStyle w:val="Heading2"/>
        <w:rPr>
          <w:b/>
          <w:bCs/>
          <w:color w:val="0070C0"/>
          <w:sz w:val="28"/>
          <w:szCs w:val="28"/>
        </w:rPr>
      </w:pPr>
    </w:p>
    <w:p w14:paraId="2B247F8B" w14:textId="5F532E9F" w:rsidR="002C6C40" w:rsidRPr="00BE3735" w:rsidRDefault="002C6C40" w:rsidP="0010570E">
      <w:pPr>
        <w:pStyle w:val="Heading2"/>
        <w:jc w:val="center"/>
        <w:rPr>
          <w:b/>
          <w:bCs/>
          <w:color w:val="0070C0"/>
          <w:sz w:val="28"/>
          <w:szCs w:val="28"/>
        </w:rPr>
      </w:pPr>
      <w:r w:rsidRPr="00BE3735">
        <w:rPr>
          <w:b/>
          <w:bCs/>
          <w:color w:val="0070C0"/>
          <w:sz w:val="28"/>
          <w:szCs w:val="28"/>
        </w:rPr>
        <w:t>Concept Note</w:t>
      </w:r>
    </w:p>
    <w:p w14:paraId="22B22CD9" w14:textId="6E6DE09A" w:rsidR="00342305" w:rsidRPr="00BE3735" w:rsidRDefault="002A1179" w:rsidP="0010570E">
      <w:pPr>
        <w:pStyle w:val="Heading2"/>
        <w:jc w:val="center"/>
        <w:rPr>
          <w:b/>
          <w:bCs/>
          <w:sz w:val="36"/>
          <w:szCs w:val="36"/>
        </w:rPr>
      </w:pPr>
      <w:r w:rsidRPr="00BE3735">
        <w:rPr>
          <w:b/>
          <w:bCs/>
          <w:sz w:val="36"/>
          <w:szCs w:val="36"/>
        </w:rPr>
        <w:t>Establishing the</w:t>
      </w:r>
      <w:r w:rsidR="00342305" w:rsidRPr="00BE3735">
        <w:rPr>
          <w:b/>
          <w:bCs/>
          <w:sz w:val="36"/>
          <w:szCs w:val="36"/>
        </w:rPr>
        <w:t xml:space="preserve"> Value of Water in Tanzania</w:t>
      </w:r>
    </w:p>
    <w:p w14:paraId="6CCE8D1E" w14:textId="0FD82D70" w:rsidR="004130B7" w:rsidRPr="00BE3735" w:rsidRDefault="002A1179" w:rsidP="0010570E">
      <w:pPr>
        <w:pStyle w:val="Heading4"/>
        <w:jc w:val="center"/>
        <w:rPr>
          <w:rStyle w:val="IntenseReference"/>
          <w:b w:val="0"/>
          <w:bCs w:val="0"/>
          <w:smallCaps w:val="0"/>
          <w:color w:val="2E74B5" w:themeColor="accent1" w:themeShade="BF"/>
          <w:spacing w:val="0"/>
          <w:sz w:val="36"/>
          <w:szCs w:val="36"/>
        </w:rPr>
      </w:pPr>
      <w:r w:rsidRPr="00BE3735">
        <w:t>Evaluating</w:t>
      </w:r>
      <w:r w:rsidR="00342305" w:rsidRPr="00BE3735">
        <w:t xml:space="preserve"> the contribution of water </w:t>
      </w:r>
      <w:r w:rsidRPr="00BE3735">
        <w:t xml:space="preserve">resources in the country’s </w:t>
      </w:r>
      <w:r w:rsidR="00342305" w:rsidRPr="00BE3735">
        <w:t>economy</w:t>
      </w:r>
    </w:p>
    <w:p w14:paraId="15C4277D" w14:textId="77777777" w:rsidR="002C6C40" w:rsidRPr="00BE3735" w:rsidRDefault="002C6C40" w:rsidP="0010570E">
      <w:pPr>
        <w:spacing w:after="0" w:line="240" w:lineRule="auto"/>
        <w:jc w:val="center"/>
      </w:pPr>
    </w:p>
    <w:p w14:paraId="2AEFA4D2" w14:textId="295A58FB" w:rsidR="004130B7" w:rsidRPr="00BE3735" w:rsidRDefault="4C628BDF" w:rsidP="006B77B2">
      <w:pPr>
        <w:pStyle w:val="Heading4"/>
        <w:rPr>
          <w:b/>
          <w:bCs/>
        </w:rPr>
      </w:pPr>
      <w:r w:rsidRPr="00BE3735">
        <w:rPr>
          <w:b/>
          <w:bCs/>
        </w:rPr>
        <w:t>Background</w:t>
      </w:r>
    </w:p>
    <w:p w14:paraId="3866E94D" w14:textId="57427A18" w:rsidR="45E5ABF7" w:rsidRPr="00BE3735" w:rsidRDefault="45E5ABF7" w:rsidP="45E5ABF7">
      <w:pPr>
        <w:spacing w:after="0" w:line="240" w:lineRule="auto"/>
        <w:jc w:val="both"/>
        <w:rPr>
          <w:u w:val="single"/>
        </w:rPr>
      </w:pPr>
    </w:p>
    <w:p w14:paraId="40BAC843" w14:textId="66672F4C" w:rsidR="00783D09" w:rsidRPr="00BE3735" w:rsidRDefault="002860F2" w:rsidP="009C246B">
      <w:pPr>
        <w:spacing w:after="0" w:line="240" w:lineRule="auto"/>
        <w:jc w:val="both"/>
      </w:pPr>
      <w:r w:rsidRPr="00BE3735">
        <w:t xml:space="preserve">Water resources provide substantial benefits to sustainable development and socio-economic well-being. </w:t>
      </w:r>
      <w:r w:rsidR="00E375AF" w:rsidRPr="00BE3735">
        <w:t>Indeed, w</w:t>
      </w:r>
      <w:r w:rsidRPr="00BE3735">
        <w:t>ater play</w:t>
      </w:r>
      <w:r w:rsidR="00783D09" w:rsidRPr="00BE3735">
        <w:t>s</w:t>
      </w:r>
      <w:r w:rsidRPr="00BE3735">
        <w:t xml:space="preserve"> a key role in most human activities and is considered a fundamental resource in many sectors </w:t>
      </w:r>
      <w:r w:rsidR="00783D09" w:rsidRPr="00BE3735">
        <w:t>including in</w:t>
      </w:r>
      <w:r w:rsidRPr="00BE3735">
        <w:t xml:space="preserve"> agriculture, transport, energy, manufacturing, tourism</w:t>
      </w:r>
      <w:r w:rsidR="00E211BF">
        <w:t xml:space="preserve"> among others</w:t>
      </w:r>
      <w:r w:rsidRPr="00BE3735">
        <w:t xml:space="preserve">. Yet, water resources are often mismanaged as seen with </w:t>
      </w:r>
      <w:r w:rsidR="00783D09" w:rsidRPr="00BE3735">
        <w:t xml:space="preserve">challenges </w:t>
      </w:r>
      <w:r w:rsidR="00E375AF" w:rsidRPr="00BE3735">
        <w:t xml:space="preserve">related to </w:t>
      </w:r>
      <w:r w:rsidRPr="00BE3735">
        <w:t>pollution, over abstraction, misallocation, floods, droughts</w:t>
      </w:r>
      <w:r w:rsidR="00771677" w:rsidRPr="00BE3735">
        <w:t xml:space="preserve">, </w:t>
      </w:r>
      <w:r w:rsidR="00E375AF" w:rsidRPr="00BE3735">
        <w:t>etc.</w:t>
      </w:r>
      <w:r w:rsidRPr="00BE3735">
        <w:t xml:space="preserve"> </w:t>
      </w:r>
      <w:r w:rsidR="009C246B" w:rsidRPr="00BE3735">
        <w:t>Such problems inflict great economic loss</w:t>
      </w:r>
      <w:r w:rsidR="00F12F96" w:rsidRPr="00BE3735">
        <w:t>es</w:t>
      </w:r>
      <w:r w:rsidR="009C246B" w:rsidRPr="00BE3735">
        <w:t>; in Africa, for example,</w:t>
      </w:r>
      <w:r w:rsidR="00404FE8" w:rsidRPr="00BE3735">
        <w:t xml:space="preserve"> it is estimated that</w:t>
      </w:r>
      <w:r w:rsidR="009C246B" w:rsidRPr="00BE3735">
        <w:t xml:space="preserve"> the lack of proper water and sanitation create the equivalent of 5% los</w:t>
      </w:r>
      <w:r w:rsidR="00F12F96" w:rsidRPr="00BE3735">
        <w:t>s</w:t>
      </w:r>
      <w:r w:rsidR="009C246B" w:rsidRPr="00BE3735">
        <w:t>es in GDP and floods and droughts can decrease the national economy by 5 to 25%</w:t>
      </w:r>
      <w:r w:rsidR="009C246B" w:rsidRPr="00BE3735">
        <w:rPr>
          <w:rStyle w:val="FootnoteReference"/>
        </w:rPr>
        <w:footnoteReference w:id="2"/>
      </w:r>
      <w:r w:rsidR="009C246B" w:rsidRPr="00BE3735">
        <w:t>. Often, d</w:t>
      </w:r>
      <w:r w:rsidR="00783D09" w:rsidRPr="00BE3735">
        <w:t>ecision makers are</w:t>
      </w:r>
      <w:r w:rsidR="009C246B" w:rsidRPr="00BE3735">
        <w:t xml:space="preserve"> however </w:t>
      </w:r>
      <w:r w:rsidR="00783D09" w:rsidRPr="00BE3735">
        <w:t xml:space="preserve">poorly informed on the actual </w:t>
      </w:r>
      <w:r w:rsidRPr="00BE3735">
        <w:t>costs and benefits</w:t>
      </w:r>
      <w:r w:rsidR="00783D09" w:rsidRPr="00BE3735">
        <w:t xml:space="preserve"> related to water</w:t>
      </w:r>
      <w:r w:rsidR="009C246B" w:rsidRPr="00BE3735">
        <w:t xml:space="preserve"> and therefore underestimate the need to invest in strengthening water governance </w:t>
      </w:r>
      <w:r w:rsidR="003777B8" w:rsidRPr="00BE3735">
        <w:t>systems</w:t>
      </w:r>
      <w:r w:rsidR="00783D09" w:rsidRPr="00BE3735">
        <w:t xml:space="preserve">. </w:t>
      </w:r>
      <w:r w:rsidR="009C246B" w:rsidRPr="00BE3735">
        <w:t>Evaluating the economic contribution of water and r</w:t>
      </w:r>
      <w:r w:rsidR="00783D09" w:rsidRPr="00BE3735">
        <w:t>ecogni</w:t>
      </w:r>
      <w:r w:rsidR="00E375AF" w:rsidRPr="00BE3735">
        <w:t xml:space="preserve">sing </w:t>
      </w:r>
      <w:r w:rsidR="009C246B" w:rsidRPr="00BE3735">
        <w:t>its true value thus</w:t>
      </w:r>
      <w:r w:rsidR="00783D09" w:rsidRPr="00BE3735">
        <w:t xml:space="preserve"> </w:t>
      </w:r>
      <w:r w:rsidR="00E375AF" w:rsidRPr="00BE3735">
        <w:t xml:space="preserve">constitute a great basis for </w:t>
      </w:r>
      <w:r w:rsidR="009C246B" w:rsidRPr="00BE3735">
        <w:t xml:space="preserve">improving </w:t>
      </w:r>
      <w:r w:rsidR="00E375AF" w:rsidRPr="00BE3735">
        <w:t>water management and policy decisions</w:t>
      </w:r>
      <w:r w:rsidR="00783D09" w:rsidRPr="00BE3735">
        <w:t xml:space="preserve">. </w:t>
      </w:r>
    </w:p>
    <w:p w14:paraId="45D6D18D" w14:textId="77777777" w:rsidR="00783D09" w:rsidRPr="00BE3735" w:rsidRDefault="00783D09" w:rsidP="45E5ABF7">
      <w:pPr>
        <w:spacing w:after="0" w:line="240" w:lineRule="auto"/>
        <w:jc w:val="both"/>
      </w:pPr>
    </w:p>
    <w:p w14:paraId="7040D557" w14:textId="1BA3FAAC" w:rsidR="00731B63" w:rsidRDefault="005E40FD" w:rsidP="45E5ABF7">
      <w:pPr>
        <w:spacing w:after="0" w:line="240" w:lineRule="auto"/>
        <w:jc w:val="both"/>
      </w:pPr>
      <w:r w:rsidRPr="00BE3735">
        <w:t xml:space="preserve">Plagued with </w:t>
      </w:r>
      <w:r w:rsidR="00870A7A">
        <w:t>significant water challenges</w:t>
      </w:r>
      <w:r w:rsidRPr="00BE3735">
        <w:t xml:space="preserve">, </w:t>
      </w:r>
      <w:r w:rsidR="00B90041" w:rsidRPr="00BE3735">
        <w:t>Tanzania</w:t>
      </w:r>
      <w:r w:rsidRPr="00BE3735">
        <w:t xml:space="preserve"> is a country that </w:t>
      </w:r>
      <w:r w:rsidR="0031304C" w:rsidRPr="00BE3735">
        <w:t>w</w:t>
      </w:r>
      <w:r w:rsidRPr="00BE3735">
        <w:t xml:space="preserve">ould </w:t>
      </w:r>
      <w:r w:rsidR="00E375AF" w:rsidRPr="00BE3735">
        <w:t xml:space="preserve">certainly benefit from better understanding </w:t>
      </w:r>
      <w:r w:rsidR="00B922B0" w:rsidRPr="00BE3735">
        <w:t xml:space="preserve">of all the costs and benefits which water brings to </w:t>
      </w:r>
      <w:r w:rsidRPr="00BE3735">
        <w:t xml:space="preserve">its </w:t>
      </w:r>
      <w:r w:rsidR="00B922B0" w:rsidRPr="00BE3735">
        <w:t xml:space="preserve">economy. </w:t>
      </w:r>
      <w:r w:rsidRPr="00BE3735">
        <w:t xml:space="preserve">Some of the key water concerns in the country relate to </w:t>
      </w:r>
      <w:r w:rsidR="00961FB3" w:rsidRPr="00BE3735">
        <w:t xml:space="preserve">the high demand and poor water efficiency in </w:t>
      </w:r>
      <w:r w:rsidRPr="00BE3735">
        <w:t xml:space="preserve">the </w:t>
      </w:r>
      <w:r w:rsidR="00961FB3" w:rsidRPr="00BE3735">
        <w:t>mining, industry, and agricultur</w:t>
      </w:r>
      <w:r w:rsidRPr="00BE3735">
        <w:t>al sectors</w:t>
      </w:r>
      <w:r w:rsidR="00961FB3" w:rsidRPr="00BE3735">
        <w:rPr>
          <w:rStyle w:val="FootnoteReference"/>
        </w:rPr>
        <w:footnoteReference w:id="3"/>
      </w:r>
      <w:r w:rsidR="00961FB3" w:rsidRPr="00BE3735">
        <w:t>.</w:t>
      </w:r>
      <w:r w:rsidR="002F310F" w:rsidRPr="00BE3735">
        <w:t xml:space="preserve"> </w:t>
      </w:r>
      <w:r w:rsidR="00961FB3" w:rsidRPr="00BE3735">
        <w:t xml:space="preserve">Mineral resources extraction, which accounts </w:t>
      </w:r>
      <w:r w:rsidR="00630EA3">
        <w:t xml:space="preserve">for </w:t>
      </w:r>
      <w:r w:rsidR="00961FB3" w:rsidRPr="00BE3735">
        <w:t xml:space="preserve">4.8% of GDP and about 50% of the country’s foreign exchange earnings, causes significant </w:t>
      </w:r>
      <w:r w:rsidR="00B90041" w:rsidRPr="00BE3735">
        <w:t>water stress and pollution</w:t>
      </w:r>
      <w:r w:rsidR="00771677" w:rsidRPr="00BE3735">
        <w:rPr>
          <w:rStyle w:val="FootnoteReference"/>
        </w:rPr>
        <w:footnoteReference w:id="4"/>
      </w:r>
      <w:r w:rsidR="002F310F" w:rsidRPr="00BE3735">
        <w:t>.</w:t>
      </w:r>
      <w:r w:rsidR="00B90041" w:rsidRPr="00BE3735">
        <w:t xml:space="preserve"> </w:t>
      </w:r>
      <w:r w:rsidR="00961FB3" w:rsidRPr="00BE3735">
        <w:t>G</w:t>
      </w:r>
      <w:r w:rsidR="002F310F" w:rsidRPr="00BE3735">
        <w:t>roundwater</w:t>
      </w:r>
      <w:r w:rsidR="00961FB3" w:rsidRPr="00BE3735">
        <w:t xml:space="preserve"> abstraction</w:t>
      </w:r>
      <w:r w:rsidR="002F310F" w:rsidRPr="00BE3735">
        <w:t xml:space="preserve"> in urban areas</w:t>
      </w:r>
      <w:r w:rsidR="00961FB3" w:rsidRPr="00BE3735">
        <w:t>,</w:t>
      </w:r>
      <w:r w:rsidR="002F310F" w:rsidRPr="00BE3735">
        <w:t xml:space="preserve"> especially Dar es Salaam where about 80% of the industries are located</w:t>
      </w:r>
      <w:r w:rsidR="00961FB3" w:rsidRPr="00BE3735">
        <w:t>,</w:t>
      </w:r>
      <w:r w:rsidR="002F310F" w:rsidRPr="00BE3735">
        <w:t xml:space="preserve"> is</w:t>
      </w:r>
      <w:r w:rsidR="00961FB3" w:rsidRPr="00BE3735">
        <w:t xml:space="preserve"> rapidly </w:t>
      </w:r>
      <w:r w:rsidR="005668A3">
        <w:t>increasing</w:t>
      </w:r>
      <w:r w:rsidR="00E211BF">
        <w:t xml:space="preserve"> due to the need for reliable water supplies to sustain industrial production</w:t>
      </w:r>
      <w:r w:rsidR="002F310F" w:rsidRPr="00BE3735">
        <w:t>. Similar patterns of</w:t>
      </w:r>
      <w:r w:rsidR="00961FB3" w:rsidRPr="00BE3735">
        <w:t xml:space="preserve"> </w:t>
      </w:r>
      <w:r w:rsidR="00B922B0" w:rsidRPr="00BE3735">
        <w:t xml:space="preserve">surges for </w:t>
      </w:r>
      <w:r w:rsidR="00961FB3" w:rsidRPr="00BE3735">
        <w:t xml:space="preserve">water demand </w:t>
      </w:r>
      <w:r w:rsidR="002F310F" w:rsidRPr="00BE3735">
        <w:t>are observed in Arusha, Mwanza and Mbeya Cities (Water Sector Status Report, 2020). Many private wells have been constructed by industries and individuals to provide a reliable supply. Rufiji basin leads with the highest water abstraction quantities of 34%</w:t>
      </w:r>
      <w:r w:rsidRPr="00BE3735">
        <w:t>,</w:t>
      </w:r>
      <w:r w:rsidR="002F310F" w:rsidRPr="00BE3735">
        <w:t xml:space="preserve"> followed by Ruvuma Basin (27%)</w:t>
      </w:r>
      <w:r w:rsidRPr="00BE3735">
        <w:t>,</w:t>
      </w:r>
      <w:r w:rsidR="002F310F" w:rsidRPr="00BE3735">
        <w:t xml:space="preserve"> which is linked with intensive irrigation activities.</w:t>
      </w:r>
      <w:r w:rsidR="00961FB3" w:rsidRPr="00BE3735">
        <w:t xml:space="preserve"> Besides problems of over abstraction, the country also faces a major issue of</w:t>
      </w:r>
      <w:r w:rsidR="0031304C" w:rsidRPr="00BE3735">
        <w:t xml:space="preserve"> water pollution and</w:t>
      </w:r>
      <w:r w:rsidR="00961FB3" w:rsidRPr="00BE3735">
        <w:t xml:space="preserve"> </w:t>
      </w:r>
      <w:r w:rsidR="002F310F" w:rsidRPr="00BE3735">
        <w:t xml:space="preserve">wetlands </w:t>
      </w:r>
      <w:r w:rsidR="00961FB3" w:rsidRPr="00BE3735">
        <w:t xml:space="preserve">encroachment caused </w:t>
      </w:r>
      <w:r w:rsidR="002F310F" w:rsidRPr="00BE3735">
        <w:t>b</w:t>
      </w:r>
      <w:r w:rsidR="00961FB3" w:rsidRPr="00BE3735">
        <w:t xml:space="preserve">y the expansion of </w:t>
      </w:r>
      <w:r w:rsidR="002F310F" w:rsidRPr="00BE3735">
        <w:t>agricultural</w:t>
      </w:r>
      <w:r w:rsidR="0031304C" w:rsidRPr="00BE3735">
        <w:t xml:space="preserve">, industrial, and tourism </w:t>
      </w:r>
      <w:r w:rsidR="002F310F" w:rsidRPr="00BE3735">
        <w:t>activities</w:t>
      </w:r>
      <w:r w:rsidR="002F310F" w:rsidRPr="00BE3735">
        <w:rPr>
          <w:rStyle w:val="FootnoteReference"/>
        </w:rPr>
        <w:footnoteReference w:id="5"/>
      </w:r>
      <w:r w:rsidR="002F310F" w:rsidRPr="00BE3735">
        <w:t>.</w:t>
      </w:r>
      <w:r w:rsidR="00B90041" w:rsidRPr="00BE3735">
        <w:t xml:space="preserve"> </w:t>
      </w:r>
      <w:r w:rsidR="00A54834">
        <w:t xml:space="preserve">All of these water-related challenges affect Tanzania’s environmental security, its social wellbeing and its economy. </w:t>
      </w:r>
    </w:p>
    <w:p w14:paraId="5E8BA029" w14:textId="77777777" w:rsidR="00B91BE2" w:rsidRDefault="00B91BE2" w:rsidP="001840B2">
      <w:pPr>
        <w:spacing w:after="0" w:line="240" w:lineRule="auto"/>
        <w:jc w:val="both"/>
        <w:rPr>
          <w:rFonts w:eastAsia="Times New Roman"/>
          <w:b/>
          <w:bCs/>
        </w:rPr>
      </w:pPr>
    </w:p>
    <w:p w14:paraId="6E8B3504" w14:textId="7CBFE704" w:rsidR="00F1023A" w:rsidRDefault="00F1023A" w:rsidP="00F1023A">
      <w:pPr>
        <w:spacing w:after="0" w:line="240" w:lineRule="auto"/>
        <w:jc w:val="both"/>
      </w:pPr>
      <w:r w:rsidRPr="00BE3735">
        <w:t xml:space="preserve">Tanzanian policy makers </w:t>
      </w:r>
      <w:r>
        <w:t xml:space="preserve">and financial decision makers </w:t>
      </w:r>
      <w:r w:rsidRPr="00BE3735">
        <w:t>would be much better equipped to make more informed decisions on how to solve these issues if they were given a more complete picture of the value that water brings to each of those sectors and to the national economy.</w:t>
      </w:r>
      <w:r w:rsidR="00BD3CEC">
        <w:t xml:space="preserve"> </w:t>
      </w:r>
      <w:r>
        <w:t xml:space="preserve">As a follow-up activity to the IWRM Action Plans produced under Stage 2 of the SDG 6 IWRM Support Programme, the proposed activity will focus on paving the way for greater commitment from multiple stakeholders towards economic investment in the implementation of the activities outlined under Stage 2, thus transitioning towards Stage 3 of the Support Programme, focused on implementation (see Figure </w:t>
      </w:r>
      <w:r w:rsidR="00C778AC">
        <w:t>1</w:t>
      </w:r>
      <w:r>
        <w:t>).</w:t>
      </w:r>
    </w:p>
    <w:p w14:paraId="6560BC9D" w14:textId="77777777" w:rsidR="00C778AC" w:rsidRDefault="00C778AC" w:rsidP="00464851">
      <w:pPr>
        <w:spacing w:after="0" w:line="240" w:lineRule="auto"/>
        <w:jc w:val="both"/>
        <w:rPr>
          <w:rFonts w:eastAsia="Times New Roman"/>
          <w:b/>
          <w:bCs/>
        </w:rPr>
      </w:pPr>
    </w:p>
    <w:p w14:paraId="41623D31" w14:textId="2D0F9D80" w:rsidR="00464851" w:rsidRPr="00BE3735" w:rsidRDefault="00464851" w:rsidP="00464851">
      <w:pPr>
        <w:spacing w:after="0" w:line="240" w:lineRule="auto"/>
        <w:jc w:val="both"/>
        <w:rPr>
          <w:rFonts w:eastAsia="Times New Roman"/>
        </w:rPr>
      </w:pPr>
      <w:r w:rsidRPr="00BE3735">
        <w:rPr>
          <w:rFonts w:eastAsia="Times New Roman"/>
          <w:b/>
          <w:bCs/>
        </w:rPr>
        <w:t xml:space="preserve">Figure </w:t>
      </w:r>
      <w:r w:rsidR="00C778AC">
        <w:rPr>
          <w:rFonts w:eastAsia="Times New Roman"/>
          <w:b/>
          <w:bCs/>
        </w:rPr>
        <w:t>1</w:t>
      </w:r>
      <w:r w:rsidRPr="00BE3735">
        <w:rPr>
          <w:rFonts w:eastAsia="Times New Roman"/>
          <w:b/>
          <w:bCs/>
        </w:rPr>
        <w:t>.</w:t>
      </w:r>
      <w:r w:rsidRPr="00BE3735">
        <w:rPr>
          <w:rFonts w:eastAsia="Times New Roman"/>
        </w:rPr>
        <w:t xml:space="preserve"> </w:t>
      </w:r>
      <w:r>
        <w:rPr>
          <w:rFonts w:eastAsia="Times New Roman"/>
        </w:rPr>
        <w:t xml:space="preserve">Stages of the SDG 6 IWRM Support Programme. </w:t>
      </w:r>
    </w:p>
    <w:p w14:paraId="23E6BE44" w14:textId="51910462" w:rsidR="00464851" w:rsidRPr="00BE3735" w:rsidRDefault="00464851" w:rsidP="45E5ABF7">
      <w:pPr>
        <w:spacing w:after="0" w:line="240" w:lineRule="auto"/>
        <w:jc w:val="both"/>
      </w:pPr>
      <w:r w:rsidRPr="00464851">
        <w:rPr>
          <w:noProof/>
        </w:rPr>
        <w:lastRenderedPageBreak/>
        <w:drawing>
          <wp:inline distT="0" distB="0" distL="0" distR="0" wp14:anchorId="06E7DD18" wp14:editId="22D76238">
            <wp:extent cx="5731510" cy="36925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692525"/>
                    </a:xfrm>
                    <a:prstGeom prst="rect">
                      <a:avLst/>
                    </a:prstGeom>
                    <a:noFill/>
                    <a:ln>
                      <a:noFill/>
                    </a:ln>
                  </pic:spPr>
                </pic:pic>
              </a:graphicData>
            </a:graphic>
          </wp:inline>
        </w:drawing>
      </w:r>
    </w:p>
    <w:p w14:paraId="2BEE678B" w14:textId="77777777" w:rsidR="004F1970" w:rsidRPr="00BE3735" w:rsidRDefault="004F1970" w:rsidP="002C6C40">
      <w:pPr>
        <w:spacing w:after="0" w:line="240" w:lineRule="auto"/>
        <w:jc w:val="both"/>
      </w:pPr>
    </w:p>
    <w:p w14:paraId="26371EFE" w14:textId="6CCFE62A" w:rsidR="00DC4EBB" w:rsidRPr="00BE3735" w:rsidRDefault="00296E03" w:rsidP="00DC4EBB">
      <w:pPr>
        <w:pStyle w:val="Heading4"/>
        <w:rPr>
          <w:b/>
          <w:bCs/>
        </w:rPr>
      </w:pPr>
      <w:r w:rsidRPr="00BE3735">
        <w:rPr>
          <w:b/>
          <w:bCs/>
        </w:rPr>
        <w:t>Objective</w:t>
      </w:r>
      <w:r w:rsidR="00881650" w:rsidRPr="00BE3735">
        <w:rPr>
          <w:b/>
          <w:bCs/>
        </w:rPr>
        <w:t>s</w:t>
      </w:r>
      <w:r w:rsidR="00D25DE8">
        <w:rPr>
          <w:b/>
          <w:bCs/>
        </w:rPr>
        <w:t xml:space="preserve"> of the study</w:t>
      </w:r>
      <w:r w:rsidR="00DC4EBB" w:rsidRPr="00BE3735">
        <w:rPr>
          <w:b/>
          <w:bCs/>
        </w:rPr>
        <w:br/>
      </w:r>
    </w:p>
    <w:p w14:paraId="4A04F5F7" w14:textId="07AB31A0" w:rsidR="00383D08" w:rsidRPr="00BE3735" w:rsidRDefault="003D6778" w:rsidP="002C6C40">
      <w:pPr>
        <w:spacing w:after="0" w:line="240" w:lineRule="auto"/>
        <w:jc w:val="both"/>
      </w:pPr>
      <w:r>
        <w:t xml:space="preserve">The objective of this </w:t>
      </w:r>
      <w:r w:rsidR="00D25DE8">
        <w:t>study</w:t>
      </w:r>
      <w:r>
        <w:t xml:space="preserve"> is to</w:t>
      </w:r>
      <w:r w:rsidR="00B922B0" w:rsidRPr="19926C8B">
        <w:rPr>
          <w:b/>
          <w:bCs/>
        </w:rPr>
        <w:t xml:space="preserve"> establish the</w:t>
      </w:r>
      <w:r w:rsidR="00464851">
        <w:rPr>
          <w:b/>
          <w:bCs/>
        </w:rPr>
        <w:t xml:space="preserve"> economic</w:t>
      </w:r>
      <w:r w:rsidR="001B105C" w:rsidRPr="19926C8B">
        <w:rPr>
          <w:b/>
          <w:bCs/>
        </w:rPr>
        <w:t xml:space="preserve"> value of water in Tanzania</w:t>
      </w:r>
      <w:r w:rsidR="0065279D">
        <w:rPr>
          <w:b/>
          <w:bCs/>
        </w:rPr>
        <w:t xml:space="preserve"> </w:t>
      </w:r>
      <w:r w:rsidR="004E05AD">
        <w:rPr>
          <w:b/>
          <w:bCs/>
        </w:rPr>
        <w:t xml:space="preserve">as </w:t>
      </w:r>
      <w:r w:rsidR="0035344F">
        <w:rPr>
          <w:b/>
          <w:bCs/>
        </w:rPr>
        <w:t xml:space="preserve">a </w:t>
      </w:r>
      <w:r w:rsidR="004E05AD">
        <w:rPr>
          <w:b/>
          <w:bCs/>
        </w:rPr>
        <w:t>mean</w:t>
      </w:r>
      <w:r w:rsidR="0035344F">
        <w:rPr>
          <w:b/>
          <w:bCs/>
        </w:rPr>
        <w:t>s</w:t>
      </w:r>
      <w:r w:rsidR="004E05AD">
        <w:rPr>
          <w:b/>
          <w:bCs/>
        </w:rPr>
        <w:t xml:space="preserve"> </w:t>
      </w:r>
      <w:r w:rsidR="002C621B">
        <w:rPr>
          <w:b/>
          <w:bCs/>
        </w:rPr>
        <w:t>to</w:t>
      </w:r>
      <w:r w:rsidR="0065279D">
        <w:rPr>
          <w:b/>
          <w:bCs/>
        </w:rPr>
        <w:t xml:space="preserve"> </w:t>
      </w:r>
      <w:r w:rsidR="004E05AD">
        <w:rPr>
          <w:b/>
          <w:bCs/>
        </w:rPr>
        <w:t>support policy makers</w:t>
      </w:r>
      <w:r w:rsidR="0035344F">
        <w:rPr>
          <w:b/>
          <w:bCs/>
        </w:rPr>
        <w:t xml:space="preserve"> to</w:t>
      </w:r>
      <w:r w:rsidR="004E05AD">
        <w:rPr>
          <w:b/>
          <w:bCs/>
        </w:rPr>
        <w:t xml:space="preserve"> take more informed </w:t>
      </w:r>
      <w:r w:rsidR="00D36C9C">
        <w:rPr>
          <w:b/>
          <w:bCs/>
        </w:rPr>
        <w:t xml:space="preserve">water-related </w:t>
      </w:r>
      <w:r w:rsidR="008564EB">
        <w:rPr>
          <w:b/>
          <w:bCs/>
        </w:rPr>
        <w:t>decision</w:t>
      </w:r>
      <w:r w:rsidR="00D36C9C">
        <w:rPr>
          <w:b/>
          <w:bCs/>
        </w:rPr>
        <w:t>s</w:t>
      </w:r>
      <w:r w:rsidR="00074D31">
        <w:t>.</w:t>
      </w:r>
      <w:r w:rsidR="001B105C" w:rsidRPr="19926C8B">
        <w:rPr>
          <w:rFonts w:eastAsia="Times New Roman"/>
        </w:rPr>
        <w:t xml:space="preserve"> </w:t>
      </w:r>
      <w:r w:rsidR="0065279D">
        <w:rPr>
          <w:rFonts w:eastAsia="Times New Roman"/>
        </w:rPr>
        <w:t xml:space="preserve">To </w:t>
      </w:r>
      <w:r w:rsidR="00430211" w:rsidRPr="19926C8B">
        <w:rPr>
          <w:rFonts w:eastAsia="Times New Roman"/>
        </w:rPr>
        <w:t xml:space="preserve">build a more comprehensive understanding </w:t>
      </w:r>
      <w:r w:rsidR="00887F6A" w:rsidRPr="19926C8B">
        <w:rPr>
          <w:rFonts w:eastAsia="Times New Roman"/>
        </w:rPr>
        <w:t xml:space="preserve">of </w:t>
      </w:r>
      <w:r w:rsidR="00430211" w:rsidRPr="19926C8B">
        <w:rPr>
          <w:rFonts w:eastAsia="Times New Roman"/>
        </w:rPr>
        <w:t xml:space="preserve">the total economic value of water in the country, </w:t>
      </w:r>
      <w:r w:rsidR="001C1961">
        <w:rPr>
          <w:rFonts w:eastAsia="Times New Roman"/>
        </w:rPr>
        <w:t xml:space="preserve">it is </w:t>
      </w:r>
      <w:r w:rsidR="001B105C" w:rsidRPr="19926C8B">
        <w:rPr>
          <w:rFonts w:eastAsia="Times New Roman"/>
        </w:rPr>
        <w:t xml:space="preserve">proposed </w:t>
      </w:r>
      <w:r w:rsidR="001C1961">
        <w:rPr>
          <w:rFonts w:eastAsia="Times New Roman"/>
        </w:rPr>
        <w:t xml:space="preserve">that a priority focus should be </w:t>
      </w:r>
      <w:r w:rsidR="00430211" w:rsidRPr="19926C8B">
        <w:rPr>
          <w:rFonts w:eastAsia="Times New Roman"/>
        </w:rPr>
        <w:t>on select</w:t>
      </w:r>
      <w:r w:rsidR="0031304C" w:rsidRPr="19926C8B">
        <w:rPr>
          <w:rFonts w:eastAsia="Times New Roman"/>
        </w:rPr>
        <w:t>ing</w:t>
      </w:r>
      <w:r w:rsidR="00430211" w:rsidRPr="19926C8B">
        <w:rPr>
          <w:rFonts w:eastAsia="Times New Roman"/>
        </w:rPr>
        <w:t xml:space="preserve"> economic activities</w:t>
      </w:r>
      <w:r w:rsidR="0031304C" w:rsidRPr="19926C8B">
        <w:rPr>
          <w:rFonts w:eastAsia="Times New Roman"/>
        </w:rPr>
        <w:t>/sectors</w:t>
      </w:r>
      <w:r w:rsidR="00430211" w:rsidRPr="19926C8B">
        <w:rPr>
          <w:rFonts w:eastAsia="Times New Roman"/>
        </w:rPr>
        <w:t xml:space="preserve"> with</w:t>
      </w:r>
      <w:r w:rsidR="005777C8" w:rsidRPr="19926C8B">
        <w:rPr>
          <w:rFonts w:eastAsia="Times New Roman"/>
        </w:rPr>
        <w:t xml:space="preserve"> major water </w:t>
      </w:r>
      <w:r w:rsidR="003A25E1" w:rsidRPr="19926C8B">
        <w:rPr>
          <w:rFonts w:eastAsia="Times New Roman"/>
        </w:rPr>
        <w:t xml:space="preserve">performance </w:t>
      </w:r>
      <w:r w:rsidR="005777C8" w:rsidRPr="19926C8B">
        <w:rPr>
          <w:rFonts w:eastAsia="Times New Roman"/>
        </w:rPr>
        <w:t>issues</w:t>
      </w:r>
      <w:r w:rsidR="00430211" w:rsidRPr="19926C8B">
        <w:rPr>
          <w:rFonts w:eastAsia="Times New Roman"/>
        </w:rPr>
        <w:t xml:space="preserve"> where there is an </w:t>
      </w:r>
      <w:r w:rsidR="00887F6A" w:rsidRPr="19926C8B">
        <w:rPr>
          <w:rFonts w:eastAsia="Times New Roman"/>
        </w:rPr>
        <w:t>i</w:t>
      </w:r>
      <w:r w:rsidR="00430211" w:rsidRPr="19926C8B">
        <w:rPr>
          <w:rFonts w:eastAsia="Times New Roman"/>
        </w:rPr>
        <w:t>ncomplete understanding of costs and benefits associated to the resource.</w:t>
      </w:r>
      <w:r w:rsidR="00430211">
        <w:t xml:space="preserve"> </w:t>
      </w:r>
      <w:r w:rsidR="001C3337">
        <w:t>T</w:t>
      </w:r>
      <w:r w:rsidR="00AD7F86">
        <w:t>his will</w:t>
      </w:r>
      <w:r w:rsidR="00176042">
        <w:t xml:space="preserve"> </w:t>
      </w:r>
      <w:r w:rsidR="00AD7F86">
        <w:t xml:space="preserve">reveal </w:t>
      </w:r>
      <w:r w:rsidR="00B21C87">
        <w:t xml:space="preserve">the extent to which the benefits related to water </w:t>
      </w:r>
      <w:r w:rsidR="0090183E">
        <w:t xml:space="preserve">have been traditionally undervalued, thus </w:t>
      </w:r>
      <w:r w:rsidR="00F22720">
        <w:t>establish</w:t>
      </w:r>
      <w:r w:rsidR="00FF7FCC">
        <w:t>ing</w:t>
      </w:r>
      <w:r w:rsidR="00F22720">
        <w:t xml:space="preserve"> a strong economic rationale for </w:t>
      </w:r>
      <w:r w:rsidR="00CD6B92">
        <w:t>further investing in good water governance.</w:t>
      </w:r>
      <w:r w:rsidR="00176042">
        <w:t xml:space="preserve"> </w:t>
      </w:r>
      <w:r w:rsidR="00C0369B">
        <w:t xml:space="preserve">At the same time, </w:t>
      </w:r>
      <w:r w:rsidR="007F0B3F">
        <w:t>an</w:t>
      </w:r>
      <w:r w:rsidR="00C0369B">
        <w:t xml:space="preserve">other interlinked objective is to identify </w:t>
      </w:r>
      <w:r w:rsidR="002F53F9">
        <w:t xml:space="preserve">whether improvements could be made to the cost and benefit sharing structures, especially in terms of who is bearing the </w:t>
      </w:r>
      <w:r w:rsidR="006D0BCF">
        <w:t xml:space="preserve">negative externalities and the extent to which these can be </w:t>
      </w:r>
      <w:r w:rsidR="003A170D">
        <w:t>decreased</w:t>
      </w:r>
      <w:r w:rsidR="006D0BCF">
        <w:t>.</w:t>
      </w:r>
      <w:r w:rsidR="009E51ED">
        <w:t xml:space="preserve"> </w:t>
      </w:r>
      <w:r w:rsidR="00F018E4">
        <w:t>Th</w:t>
      </w:r>
      <w:r w:rsidR="0068643F">
        <w:t>is</w:t>
      </w:r>
      <w:r w:rsidR="007A71C4">
        <w:t xml:space="preserve"> strong </w:t>
      </w:r>
      <w:r w:rsidR="0070739F">
        <w:t xml:space="preserve">conceptual framework </w:t>
      </w:r>
      <w:r w:rsidR="0068643F">
        <w:t xml:space="preserve">will then be used to </w:t>
      </w:r>
      <w:r w:rsidR="007A71C4">
        <w:t>explor</w:t>
      </w:r>
      <w:r w:rsidR="0047208C">
        <w:t>e</w:t>
      </w:r>
      <w:r w:rsidR="007A71C4">
        <w:t xml:space="preserve"> different policy options</w:t>
      </w:r>
      <w:r w:rsidR="0047208C">
        <w:t xml:space="preserve"> in various development scenarios to</w:t>
      </w:r>
      <w:r w:rsidR="007A71C4">
        <w:t xml:space="preserve"> </w:t>
      </w:r>
      <w:r w:rsidR="00A94E2D">
        <w:t xml:space="preserve">see what would happen to </w:t>
      </w:r>
      <w:r w:rsidR="007A71C4">
        <w:t>the total economic value of water</w:t>
      </w:r>
      <w:r w:rsidR="0047208C">
        <w:t xml:space="preserve"> in that context</w:t>
      </w:r>
      <w:r w:rsidR="00E16493">
        <w:t>.</w:t>
      </w:r>
      <w:r w:rsidR="00D34DCD">
        <w:t xml:space="preserve"> </w:t>
      </w:r>
      <w:r w:rsidR="00383D08">
        <w:t xml:space="preserve">Specific </w:t>
      </w:r>
      <w:r w:rsidR="00E16493">
        <w:t xml:space="preserve">activity </w:t>
      </w:r>
      <w:r w:rsidR="00383D08">
        <w:t>objective</w:t>
      </w:r>
      <w:r w:rsidR="0018641B">
        <w:t>s</w:t>
      </w:r>
      <w:r w:rsidR="00383D08">
        <w:t xml:space="preserve"> include</w:t>
      </w:r>
      <w:r w:rsidR="005466FA">
        <w:t xml:space="preserve"> to</w:t>
      </w:r>
      <w:r w:rsidR="00383D08">
        <w:t>:</w:t>
      </w:r>
    </w:p>
    <w:p w14:paraId="70591BA3" w14:textId="77777777" w:rsidR="003A25E1" w:rsidRPr="00BE3735" w:rsidRDefault="003A25E1" w:rsidP="002C6C40">
      <w:pPr>
        <w:spacing w:after="0" w:line="240" w:lineRule="auto"/>
        <w:jc w:val="both"/>
      </w:pPr>
    </w:p>
    <w:p w14:paraId="6AF3B8C5" w14:textId="393A3795" w:rsidR="00DD0399" w:rsidRPr="00BE3735" w:rsidRDefault="005777C8" w:rsidP="00A81188">
      <w:pPr>
        <w:pStyle w:val="ListParagraph"/>
        <w:numPr>
          <w:ilvl w:val="0"/>
          <w:numId w:val="9"/>
        </w:numPr>
        <w:spacing w:after="0" w:line="240" w:lineRule="auto"/>
        <w:jc w:val="both"/>
      </w:pPr>
      <w:r w:rsidRPr="00BE3735">
        <w:t xml:space="preserve">Identify </w:t>
      </w:r>
      <w:r w:rsidR="0077704D" w:rsidRPr="00BE3735">
        <w:t xml:space="preserve">key </w:t>
      </w:r>
      <w:r w:rsidRPr="00BE3735">
        <w:t xml:space="preserve">economic </w:t>
      </w:r>
      <w:r w:rsidR="00DD0399" w:rsidRPr="00BE3735">
        <w:t>activities</w:t>
      </w:r>
      <w:r w:rsidR="005B562D" w:rsidRPr="00BE3735">
        <w:t>/sectors</w:t>
      </w:r>
      <w:r w:rsidR="005466FA" w:rsidRPr="00BE3735">
        <w:t xml:space="preserve"> linked to</w:t>
      </w:r>
      <w:r w:rsidR="00DD0399" w:rsidRPr="00BE3735">
        <w:t xml:space="preserve"> </w:t>
      </w:r>
      <w:r w:rsidR="005466FA" w:rsidRPr="00BE3735">
        <w:t xml:space="preserve">major water </w:t>
      </w:r>
      <w:r w:rsidR="005B562D" w:rsidRPr="00BE3735">
        <w:t xml:space="preserve">performance issues </w:t>
      </w:r>
      <w:r w:rsidR="00430211" w:rsidRPr="00BE3735">
        <w:t xml:space="preserve">where </w:t>
      </w:r>
      <w:r w:rsidR="0031304C" w:rsidRPr="00BE3735">
        <w:t xml:space="preserve">the value of </w:t>
      </w:r>
      <w:r w:rsidR="005B562D" w:rsidRPr="00BE3735">
        <w:t>the resource</w:t>
      </w:r>
      <w:r w:rsidR="0031304C" w:rsidRPr="00BE3735">
        <w:t xml:space="preserve"> is poorly understood</w:t>
      </w:r>
      <w:r w:rsidR="00C82F1E">
        <w:t xml:space="preserve">, based on the previous Baseline Action Rationale </w:t>
      </w:r>
      <w:r w:rsidR="002A4DFB">
        <w:t xml:space="preserve">study </w:t>
      </w:r>
      <w:r w:rsidR="00C82F1E">
        <w:t>(BARD) conducted</w:t>
      </w:r>
      <w:r w:rsidR="002A4DFB">
        <w:t xml:space="preserve"> by</w:t>
      </w:r>
      <w:r w:rsidR="00C82F1E">
        <w:t xml:space="preserve"> </w:t>
      </w:r>
      <w:r w:rsidR="001C1961">
        <w:t xml:space="preserve">Global Water Partnership </w:t>
      </w:r>
      <w:r w:rsidR="00C82F1E">
        <w:t>in 2021-22</w:t>
      </w:r>
      <w:r w:rsidR="009F7577">
        <w:t>.</w:t>
      </w:r>
    </w:p>
    <w:p w14:paraId="20BF21C2" w14:textId="32789778" w:rsidR="00DD0399" w:rsidRPr="00BE3735" w:rsidRDefault="00DD0399" w:rsidP="00A81188">
      <w:pPr>
        <w:pStyle w:val="ListParagraph"/>
        <w:numPr>
          <w:ilvl w:val="0"/>
          <w:numId w:val="9"/>
        </w:numPr>
        <w:spacing w:after="0" w:line="240" w:lineRule="auto"/>
        <w:jc w:val="both"/>
      </w:pPr>
      <w:r w:rsidRPr="00BE3735">
        <w:t xml:space="preserve">Select the appropriate economic valuation approaches and methods to </w:t>
      </w:r>
      <w:r w:rsidR="003A25E1" w:rsidRPr="00BE3735">
        <w:t xml:space="preserve">reveal all the costs and benefits </w:t>
      </w:r>
      <w:r w:rsidRPr="00BE3735">
        <w:t xml:space="preserve">of water </w:t>
      </w:r>
      <w:r w:rsidR="005B562D" w:rsidRPr="00BE3735">
        <w:t xml:space="preserve">in </w:t>
      </w:r>
      <w:r w:rsidRPr="00BE3735">
        <w:t xml:space="preserve">these </w:t>
      </w:r>
      <w:r w:rsidR="003A25E1" w:rsidRPr="00BE3735">
        <w:t xml:space="preserve">key selected </w:t>
      </w:r>
      <w:r w:rsidRPr="00BE3735">
        <w:t xml:space="preserve">economic </w:t>
      </w:r>
      <w:r w:rsidR="004772C7" w:rsidRPr="00BE3735">
        <w:t>activities</w:t>
      </w:r>
      <w:r w:rsidR="00430211" w:rsidRPr="00BE3735">
        <w:t>/sectors</w:t>
      </w:r>
      <w:r w:rsidR="00FF79A1" w:rsidRPr="00BE3735">
        <w:t xml:space="preserve"> (e.g.</w:t>
      </w:r>
      <w:r w:rsidR="00B65D16" w:rsidRPr="00BE3735">
        <w:t>,</w:t>
      </w:r>
      <w:r w:rsidR="005B562D" w:rsidRPr="00BE3735">
        <w:t xml:space="preserve"> </w:t>
      </w:r>
      <w:r w:rsidR="004772C7" w:rsidRPr="00BE3735">
        <w:t>through</w:t>
      </w:r>
      <w:r w:rsidR="005466FA" w:rsidRPr="00BE3735">
        <w:t xml:space="preserve"> revealed, cost-based, and stated preferences approaches</w:t>
      </w:r>
      <w:r w:rsidR="00B65D16" w:rsidRPr="00BE3735">
        <w:t xml:space="preserve">, see </w:t>
      </w:r>
      <w:r w:rsidR="00943D69" w:rsidRPr="00BE3735">
        <w:t xml:space="preserve">Figure </w:t>
      </w:r>
      <w:r w:rsidR="003875BA">
        <w:t>2</w:t>
      </w:r>
      <w:r w:rsidR="00943D69" w:rsidRPr="00BE3735">
        <w:t>)</w:t>
      </w:r>
      <w:r w:rsidRPr="00BE3735">
        <w:t>.</w:t>
      </w:r>
      <w:r w:rsidR="00BD3CEC">
        <w:t xml:space="preserve"> </w:t>
      </w:r>
    </w:p>
    <w:p w14:paraId="1B8E4A01" w14:textId="03380474" w:rsidR="00E60C18" w:rsidRDefault="00E60C18" w:rsidP="00E60C18">
      <w:pPr>
        <w:pStyle w:val="ListParagraph"/>
        <w:numPr>
          <w:ilvl w:val="0"/>
          <w:numId w:val="9"/>
        </w:numPr>
        <w:spacing w:after="0" w:line="240" w:lineRule="auto"/>
        <w:jc w:val="both"/>
      </w:pPr>
      <w:r>
        <w:t xml:space="preserve">Engage with key </w:t>
      </w:r>
      <w:r w:rsidR="009A2A48">
        <w:t xml:space="preserve">stakeholders </w:t>
      </w:r>
      <w:r w:rsidR="000F3A9E">
        <w:t xml:space="preserve">in the water sector as well as </w:t>
      </w:r>
      <w:r>
        <w:t>water</w:t>
      </w:r>
      <w:r w:rsidR="001F17C5">
        <w:t>-</w:t>
      </w:r>
      <w:r>
        <w:t>related ministries in the design</w:t>
      </w:r>
      <w:r w:rsidR="005377E7">
        <w:t xml:space="preserve"> and methodology</w:t>
      </w:r>
      <w:r>
        <w:t xml:space="preserve"> of the </w:t>
      </w:r>
      <w:r w:rsidR="005377E7">
        <w:t>study</w:t>
      </w:r>
      <w:r w:rsidR="00257F61">
        <w:t xml:space="preserve"> </w:t>
      </w:r>
      <w:r>
        <w:t xml:space="preserve">e.g, the Ministry of </w:t>
      </w:r>
      <w:r w:rsidR="001C1961">
        <w:t xml:space="preserve">Energy, </w:t>
      </w:r>
      <w:r w:rsidR="008019BB">
        <w:t xml:space="preserve">Ministry of Agriculture, Ministry </w:t>
      </w:r>
      <w:r>
        <w:t xml:space="preserve">of Livestock and Fisheries, </w:t>
      </w:r>
      <w:r w:rsidR="008019BB">
        <w:t xml:space="preserve">Ministry for Industry and Trade, Ministry of Health, </w:t>
      </w:r>
      <w:r>
        <w:t xml:space="preserve">Ministry of Natural Resources and Tourism, </w:t>
      </w:r>
      <w:r w:rsidR="00257F61">
        <w:t xml:space="preserve">Vice President’s Office (Environment), </w:t>
      </w:r>
      <w:r>
        <w:t>Ministry of Finance and Planning</w:t>
      </w:r>
      <w:r w:rsidR="008019BB">
        <w:t xml:space="preserve"> among others</w:t>
      </w:r>
      <w:r w:rsidR="005377E7">
        <w:t>.</w:t>
      </w:r>
      <w:r w:rsidR="000F3A9E">
        <w:t xml:space="preserve"> This will take the form of a national workshop.</w:t>
      </w:r>
    </w:p>
    <w:p w14:paraId="5CCE4B9A" w14:textId="09732500" w:rsidR="002A4DFB" w:rsidRDefault="002A4DFB" w:rsidP="00E60C18">
      <w:pPr>
        <w:pStyle w:val="ListParagraph"/>
        <w:numPr>
          <w:ilvl w:val="0"/>
          <w:numId w:val="9"/>
        </w:numPr>
        <w:spacing w:after="0" w:line="240" w:lineRule="auto"/>
        <w:jc w:val="both"/>
      </w:pPr>
      <w:r>
        <w:lastRenderedPageBreak/>
        <w:t xml:space="preserve">Present the methodological framework to the </w:t>
      </w:r>
      <w:r w:rsidR="00325D53">
        <w:t xml:space="preserve">Management of Ministry of Water as well as </w:t>
      </w:r>
      <w:r>
        <w:t xml:space="preserve">Donor Partner Group on Water with the objective to reach out to </w:t>
      </w:r>
      <w:r w:rsidR="00325D53">
        <w:t xml:space="preserve">key stakeholders </w:t>
      </w:r>
      <w:r>
        <w:t>for further input</w:t>
      </w:r>
      <w:r w:rsidR="00325D53">
        <w:t xml:space="preserve"> and consultations</w:t>
      </w:r>
      <w:r w:rsidR="009F7577">
        <w:t>.</w:t>
      </w:r>
      <w:r w:rsidR="00BD3CEC">
        <w:t xml:space="preserve"> </w:t>
      </w:r>
      <w:r>
        <w:t xml:space="preserve"> </w:t>
      </w:r>
    </w:p>
    <w:p w14:paraId="7883D221" w14:textId="400B6266" w:rsidR="00991AC7" w:rsidRDefault="00851E0C" w:rsidP="00035DFD">
      <w:pPr>
        <w:pStyle w:val="ListParagraph"/>
        <w:numPr>
          <w:ilvl w:val="0"/>
          <w:numId w:val="9"/>
        </w:numPr>
        <w:spacing w:after="0" w:line="240" w:lineRule="auto"/>
        <w:jc w:val="both"/>
        <w:rPr>
          <w:rFonts w:eastAsia="Times New Roman"/>
        </w:rPr>
      </w:pPr>
      <w:r w:rsidRPr="00BE3735">
        <w:t>D</w:t>
      </w:r>
      <w:r w:rsidR="00A81188" w:rsidRPr="00BE3735">
        <w:t>evelop</w:t>
      </w:r>
      <w:r w:rsidRPr="00BE3735">
        <w:t xml:space="preserve"> a </w:t>
      </w:r>
      <w:r w:rsidR="004D0741" w:rsidRPr="00BE3735">
        <w:t>m</w:t>
      </w:r>
      <w:r w:rsidR="004D0741">
        <w:t>a</w:t>
      </w:r>
      <w:r w:rsidR="004D0741" w:rsidRPr="00BE3735">
        <w:t>c</w:t>
      </w:r>
      <w:r w:rsidR="004D0741">
        <w:t>r</w:t>
      </w:r>
      <w:r w:rsidR="004D0741" w:rsidRPr="00BE3735">
        <w:t>oeconomic</w:t>
      </w:r>
      <w:r w:rsidR="00DD0399" w:rsidRPr="00BE3735">
        <w:t xml:space="preserve"> </w:t>
      </w:r>
      <w:r w:rsidR="00DD0399" w:rsidRPr="00BE3735">
        <w:rPr>
          <w:rFonts w:eastAsia="Times New Roman"/>
        </w:rPr>
        <w:t xml:space="preserve">understanding </w:t>
      </w:r>
      <w:r w:rsidR="003A25E1" w:rsidRPr="00BE3735">
        <w:rPr>
          <w:rFonts w:eastAsia="Times New Roman"/>
        </w:rPr>
        <w:t xml:space="preserve">of </w:t>
      </w:r>
      <w:r w:rsidR="00DD0399" w:rsidRPr="00BE3735">
        <w:rPr>
          <w:rFonts w:eastAsia="Times New Roman"/>
        </w:rPr>
        <w:t xml:space="preserve">the total economic value of water in Tanzania </w:t>
      </w:r>
      <w:r w:rsidR="00D61C5C">
        <w:rPr>
          <w:rFonts w:eastAsia="Times New Roman"/>
        </w:rPr>
        <w:t xml:space="preserve">as </w:t>
      </w:r>
      <w:r w:rsidR="004B1B5D">
        <w:rPr>
          <w:rFonts w:eastAsia="Times New Roman"/>
        </w:rPr>
        <w:t xml:space="preserve">a </w:t>
      </w:r>
      <w:r w:rsidR="00D61C5C">
        <w:rPr>
          <w:rFonts w:eastAsia="Times New Roman"/>
        </w:rPr>
        <w:t>means of</w:t>
      </w:r>
      <w:r w:rsidR="00991AC7">
        <w:rPr>
          <w:rFonts w:eastAsia="Times New Roman"/>
        </w:rPr>
        <w:t xml:space="preserve"> </w:t>
      </w:r>
      <w:r w:rsidR="0047208C">
        <w:rPr>
          <w:rFonts w:eastAsia="Times New Roman"/>
        </w:rPr>
        <w:t>reinforcing the</w:t>
      </w:r>
      <w:r w:rsidR="00991AC7">
        <w:rPr>
          <w:rFonts w:eastAsia="Times New Roman"/>
        </w:rPr>
        <w:t xml:space="preserve"> investment rational</w:t>
      </w:r>
      <w:r w:rsidR="0047208C">
        <w:rPr>
          <w:rFonts w:eastAsia="Times New Roman"/>
        </w:rPr>
        <w:t>e</w:t>
      </w:r>
      <w:r w:rsidR="00991AC7">
        <w:rPr>
          <w:rFonts w:eastAsia="Times New Roman"/>
        </w:rPr>
        <w:t xml:space="preserve"> for improving water management. </w:t>
      </w:r>
    </w:p>
    <w:p w14:paraId="78FADFA2" w14:textId="52E331F7" w:rsidR="00A23431" w:rsidRDefault="00DE0655" w:rsidP="00035DFD">
      <w:pPr>
        <w:pStyle w:val="ListParagraph"/>
        <w:numPr>
          <w:ilvl w:val="0"/>
          <w:numId w:val="9"/>
        </w:numPr>
        <w:spacing w:after="0" w:line="240" w:lineRule="auto"/>
        <w:jc w:val="both"/>
        <w:rPr>
          <w:rFonts w:eastAsia="Times New Roman"/>
        </w:rPr>
      </w:pPr>
      <w:r>
        <w:rPr>
          <w:rFonts w:eastAsia="Times New Roman"/>
        </w:rPr>
        <w:t xml:space="preserve">Study cost and benefit sharing arrangements between </w:t>
      </w:r>
      <w:r w:rsidR="001137CF">
        <w:rPr>
          <w:rFonts w:eastAsia="Times New Roman"/>
        </w:rPr>
        <w:t>various stakeholders (</w:t>
      </w:r>
      <w:r w:rsidR="002A4DFB">
        <w:rPr>
          <w:rFonts w:eastAsia="Times New Roman"/>
        </w:rPr>
        <w:t xml:space="preserve">water </w:t>
      </w:r>
      <w:r w:rsidR="0035300F">
        <w:rPr>
          <w:rFonts w:eastAsia="Times New Roman"/>
        </w:rPr>
        <w:t>users, industries</w:t>
      </w:r>
      <w:r w:rsidR="002A4DFB">
        <w:rPr>
          <w:rFonts w:eastAsia="Times New Roman"/>
        </w:rPr>
        <w:t>, etc</w:t>
      </w:r>
      <w:r w:rsidR="0035300F">
        <w:rPr>
          <w:rFonts w:eastAsia="Times New Roman"/>
        </w:rPr>
        <w:t xml:space="preserve">) </w:t>
      </w:r>
      <w:r w:rsidR="00A23431">
        <w:rPr>
          <w:rFonts w:eastAsia="Times New Roman"/>
        </w:rPr>
        <w:t xml:space="preserve">and who bears </w:t>
      </w:r>
      <w:r w:rsidR="00F55432">
        <w:rPr>
          <w:rFonts w:eastAsia="Times New Roman"/>
        </w:rPr>
        <w:t>the brunt of</w:t>
      </w:r>
      <w:r w:rsidR="00A23431">
        <w:rPr>
          <w:rFonts w:eastAsia="Times New Roman"/>
        </w:rPr>
        <w:t xml:space="preserve"> externalities.</w:t>
      </w:r>
    </w:p>
    <w:p w14:paraId="1F1E8A68" w14:textId="7515F35D" w:rsidR="00943D69" w:rsidRDefault="00A35005" w:rsidP="007B5ADE">
      <w:pPr>
        <w:pStyle w:val="ListParagraph"/>
        <w:numPr>
          <w:ilvl w:val="0"/>
          <w:numId w:val="9"/>
        </w:numPr>
        <w:spacing w:after="0" w:line="240" w:lineRule="auto"/>
        <w:jc w:val="both"/>
        <w:rPr>
          <w:rFonts w:eastAsia="Times New Roman"/>
        </w:rPr>
      </w:pPr>
      <w:r w:rsidRPr="00F018E4">
        <w:rPr>
          <w:rFonts w:eastAsia="Times New Roman"/>
        </w:rPr>
        <w:t>Discuss and identify</w:t>
      </w:r>
      <w:r w:rsidR="00A23431" w:rsidRPr="00F018E4">
        <w:rPr>
          <w:rFonts w:eastAsia="Times New Roman"/>
        </w:rPr>
        <w:t xml:space="preserve"> </w:t>
      </w:r>
      <w:r w:rsidRPr="00F018E4">
        <w:rPr>
          <w:rFonts w:eastAsia="Times New Roman"/>
        </w:rPr>
        <w:t xml:space="preserve">how </w:t>
      </w:r>
      <w:r w:rsidR="00671A6A" w:rsidRPr="00F018E4">
        <w:rPr>
          <w:rFonts w:eastAsia="Times New Roman"/>
        </w:rPr>
        <w:t>certain policy decisions</w:t>
      </w:r>
      <w:r w:rsidRPr="00F018E4">
        <w:rPr>
          <w:rFonts w:eastAsia="Times New Roman"/>
        </w:rPr>
        <w:t xml:space="preserve"> </w:t>
      </w:r>
      <w:r w:rsidR="004B1B5D" w:rsidRPr="00F018E4">
        <w:rPr>
          <w:rFonts w:eastAsia="Times New Roman"/>
        </w:rPr>
        <w:t xml:space="preserve">would </w:t>
      </w:r>
      <w:r w:rsidRPr="00F018E4">
        <w:rPr>
          <w:rFonts w:eastAsia="Times New Roman"/>
        </w:rPr>
        <w:t>impact the total economic</w:t>
      </w:r>
      <w:r w:rsidR="00671A6A" w:rsidRPr="00F018E4">
        <w:rPr>
          <w:rFonts w:eastAsia="Times New Roman"/>
        </w:rPr>
        <w:t xml:space="preserve"> value of water</w:t>
      </w:r>
      <w:r w:rsidR="002B596C">
        <w:rPr>
          <w:rFonts w:eastAsia="Times New Roman"/>
        </w:rPr>
        <w:t xml:space="preserve"> while maximising the social and environmental benefits,</w:t>
      </w:r>
      <w:r w:rsidR="00671A6A" w:rsidRPr="00F018E4">
        <w:rPr>
          <w:rFonts w:eastAsia="Times New Roman"/>
        </w:rPr>
        <w:t xml:space="preserve"> </w:t>
      </w:r>
      <w:r w:rsidR="00F018E4" w:rsidRPr="00F018E4">
        <w:rPr>
          <w:rFonts w:eastAsia="Times New Roman"/>
        </w:rPr>
        <w:t>looking at the current ba</w:t>
      </w:r>
      <w:r w:rsidR="0047208C">
        <w:rPr>
          <w:rFonts w:eastAsia="Times New Roman"/>
        </w:rPr>
        <w:t>s</w:t>
      </w:r>
      <w:r w:rsidR="00F018E4" w:rsidRPr="00F018E4">
        <w:rPr>
          <w:rFonts w:eastAsia="Times New Roman"/>
        </w:rPr>
        <w:t>eline and possible future development scenarios</w:t>
      </w:r>
      <w:r w:rsidR="00BB6E4E">
        <w:rPr>
          <w:rFonts w:eastAsia="Times New Roman"/>
        </w:rPr>
        <w:t xml:space="preserve">, including </w:t>
      </w:r>
      <w:r w:rsidR="00BB6E4E">
        <w:t>propo</w:t>
      </w:r>
      <w:r w:rsidR="0010570E">
        <w:t>s</w:t>
      </w:r>
      <w:r w:rsidR="00BB6E4E">
        <w:t>ed actionable recommendations</w:t>
      </w:r>
      <w:r w:rsidR="00F018E4" w:rsidRPr="00F018E4">
        <w:rPr>
          <w:rFonts w:eastAsia="Times New Roman"/>
        </w:rPr>
        <w:t>.</w:t>
      </w:r>
    </w:p>
    <w:p w14:paraId="75D5152E" w14:textId="536B3D6E" w:rsidR="00257F61" w:rsidRDefault="00257F61" w:rsidP="007B5ADE">
      <w:pPr>
        <w:pStyle w:val="ListParagraph"/>
        <w:numPr>
          <w:ilvl w:val="0"/>
          <w:numId w:val="9"/>
        </w:numPr>
        <w:spacing w:after="0" w:line="240" w:lineRule="auto"/>
        <w:jc w:val="both"/>
        <w:rPr>
          <w:rFonts w:eastAsia="Times New Roman"/>
        </w:rPr>
      </w:pPr>
      <w:r>
        <w:rPr>
          <w:rFonts w:eastAsia="Times New Roman"/>
        </w:rPr>
        <w:t>Present the outcome</w:t>
      </w:r>
      <w:r w:rsidR="00BB6E4E">
        <w:rPr>
          <w:rFonts w:eastAsia="Times New Roman"/>
        </w:rPr>
        <w:t>s</w:t>
      </w:r>
      <w:r>
        <w:rPr>
          <w:rFonts w:eastAsia="Times New Roman"/>
        </w:rPr>
        <w:t xml:space="preserve"> of the study </w:t>
      </w:r>
      <w:r w:rsidR="00BB6E4E" w:rsidRPr="00BB6E4E">
        <w:rPr>
          <w:rFonts w:eastAsia="Times New Roman"/>
        </w:rPr>
        <w:t>and proposed recommendations</w:t>
      </w:r>
      <w:r w:rsidR="00BB6E4E">
        <w:rPr>
          <w:rFonts w:eastAsia="Times New Roman"/>
        </w:rPr>
        <w:t xml:space="preserve"> </w:t>
      </w:r>
      <w:r>
        <w:rPr>
          <w:rFonts w:eastAsia="Times New Roman"/>
        </w:rPr>
        <w:t>to an inter-ministerial team (from water related ministries) for further input</w:t>
      </w:r>
      <w:r w:rsidR="004B1978">
        <w:rPr>
          <w:rFonts w:eastAsia="Times New Roman"/>
        </w:rPr>
        <w:t>.</w:t>
      </w:r>
      <w:r>
        <w:rPr>
          <w:rFonts w:eastAsia="Times New Roman"/>
        </w:rPr>
        <w:t xml:space="preserve"> </w:t>
      </w:r>
    </w:p>
    <w:p w14:paraId="01A2A218" w14:textId="7A388266" w:rsidR="00257F61" w:rsidRDefault="00257F61" w:rsidP="007B5ADE">
      <w:pPr>
        <w:pStyle w:val="ListParagraph"/>
        <w:numPr>
          <w:ilvl w:val="0"/>
          <w:numId w:val="9"/>
        </w:numPr>
        <w:spacing w:after="0" w:line="240" w:lineRule="auto"/>
        <w:jc w:val="both"/>
        <w:rPr>
          <w:rFonts w:eastAsia="Times New Roman"/>
        </w:rPr>
      </w:pPr>
      <w:r>
        <w:rPr>
          <w:rFonts w:eastAsia="Times New Roman"/>
        </w:rPr>
        <w:t>Present the final outcome to the management of the Ministry of Water for adoption</w:t>
      </w:r>
      <w:r w:rsidR="004B1978">
        <w:rPr>
          <w:rFonts w:eastAsia="Times New Roman"/>
        </w:rPr>
        <w:t>.</w:t>
      </w:r>
      <w:r>
        <w:rPr>
          <w:rFonts w:eastAsia="Times New Roman"/>
        </w:rPr>
        <w:t xml:space="preserve"> </w:t>
      </w:r>
    </w:p>
    <w:p w14:paraId="384E272E" w14:textId="45C7E89D" w:rsidR="00BF47C2" w:rsidRDefault="002A4DFB" w:rsidP="007B5ADE">
      <w:pPr>
        <w:pStyle w:val="ListParagraph"/>
        <w:numPr>
          <w:ilvl w:val="0"/>
          <w:numId w:val="9"/>
        </w:numPr>
        <w:spacing w:after="0" w:line="240" w:lineRule="auto"/>
        <w:jc w:val="both"/>
        <w:rPr>
          <w:rFonts w:eastAsia="Times New Roman"/>
        </w:rPr>
      </w:pPr>
      <w:r>
        <w:rPr>
          <w:rFonts w:eastAsia="Times New Roman"/>
        </w:rPr>
        <w:t>Launch the “Economic Value of Water</w:t>
      </w:r>
      <w:r w:rsidR="00225D9F">
        <w:rPr>
          <w:rFonts w:eastAsia="Times New Roman"/>
        </w:rPr>
        <w:t xml:space="preserve"> in Tanzania</w:t>
      </w:r>
      <w:r>
        <w:rPr>
          <w:rFonts w:eastAsia="Times New Roman"/>
        </w:rPr>
        <w:t>” report during the 2022 annual National Multi-Sectoral Forum on water resources management where all water</w:t>
      </w:r>
      <w:r w:rsidR="00CE7ABB">
        <w:rPr>
          <w:rFonts w:eastAsia="Times New Roman"/>
        </w:rPr>
        <w:t>-</w:t>
      </w:r>
      <w:r>
        <w:rPr>
          <w:rFonts w:eastAsia="Times New Roman"/>
        </w:rPr>
        <w:t xml:space="preserve">related sector ministries, </w:t>
      </w:r>
      <w:r w:rsidR="000F3A9E">
        <w:rPr>
          <w:rFonts w:eastAsia="Times New Roman"/>
        </w:rPr>
        <w:t xml:space="preserve">key stakeholders including </w:t>
      </w:r>
      <w:r>
        <w:rPr>
          <w:rFonts w:eastAsia="Times New Roman"/>
        </w:rPr>
        <w:t xml:space="preserve">development partners </w:t>
      </w:r>
      <w:r w:rsidR="000F3A9E">
        <w:rPr>
          <w:rFonts w:eastAsia="Times New Roman"/>
        </w:rPr>
        <w:t>will be present</w:t>
      </w:r>
      <w:r>
        <w:rPr>
          <w:rFonts w:eastAsia="Times New Roman"/>
        </w:rPr>
        <w:t xml:space="preserve"> (most likely the </w:t>
      </w:r>
      <w:r w:rsidR="00325D53">
        <w:rPr>
          <w:rFonts w:eastAsia="Times New Roman"/>
        </w:rPr>
        <w:t xml:space="preserve">annual convening </w:t>
      </w:r>
      <w:r>
        <w:rPr>
          <w:rFonts w:eastAsia="Times New Roman"/>
        </w:rPr>
        <w:t>will be in November/December)</w:t>
      </w:r>
      <w:r w:rsidR="003875BA">
        <w:rPr>
          <w:rFonts w:eastAsia="Times New Roman"/>
        </w:rPr>
        <w:t>.</w:t>
      </w:r>
    </w:p>
    <w:p w14:paraId="6D56D417" w14:textId="7F2A7406" w:rsidR="00C46814" w:rsidRDefault="00C46814" w:rsidP="007B5ADE">
      <w:pPr>
        <w:pStyle w:val="ListParagraph"/>
        <w:numPr>
          <w:ilvl w:val="0"/>
          <w:numId w:val="9"/>
        </w:numPr>
        <w:spacing w:after="0" w:line="240" w:lineRule="auto"/>
        <w:jc w:val="both"/>
        <w:rPr>
          <w:rFonts w:eastAsia="Times New Roman"/>
        </w:rPr>
      </w:pPr>
      <w:r>
        <w:rPr>
          <w:rFonts w:eastAsia="Times New Roman"/>
        </w:rPr>
        <w:t xml:space="preserve">Agree on possible next steps, including potentially the </w:t>
      </w:r>
      <w:r w:rsidR="00546229">
        <w:rPr>
          <w:rFonts w:eastAsia="Times New Roman"/>
        </w:rPr>
        <w:t>endorsement of the report’s findings, guiding future investment decisions</w:t>
      </w:r>
      <w:r w:rsidR="00F27C8D">
        <w:rPr>
          <w:rFonts w:eastAsia="Times New Roman"/>
        </w:rPr>
        <w:t xml:space="preserve"> and budgetary allocations. </w:t>
      </w:r>
    </w:p>
    <w:p w14:paraId="303FFDBB" w14:textId="77777777" w:rsidR="00BF47C2" w:rsidRPr="007B5ADE" w:rsidRDefault="00BF47C2" w:rsidP="00BF47C2">
      <w:pPr>
        <w:pStyle w:val="ListParagraph"/>
        <w:spacing w:after="0" w:line="240" w:lineRule="auto"/>
        <w:ind w:left="360"/>
        <w:jc w:val="both"/>
        <w:rPr>
          <w:rFonts w:eastAsia="Times New Roman"/>
        </w:rPr>
      </w:pPr>
    </w:p>
    <w:p w14:paraId="05E7DC2C" w14:textId="7E83F1D7" w:rsidR="00943D69" w:rsidRPr="00BE3735" w:rsidRDefault="00943D69" w:rsidP="00943D69">
      <w:pPr>
        <w:spacing w:after="0" w:line="240" w:lineRule="auto"/>
        <w:jc w:val="both"/>
        <w:rPr>
          <w:rFonts w:eastAsia="Times New Roman"/>
        </w:rPr>
      </w:pPr>
      <w:r w:rsidRPr="00BE3735">
        <w:rPr>
          <w:rFonts w:eastAsia="Times New Roman"/>
          <w:b/>
          <w:bCs/>
        </w:rPr>
        <w:t xml:space="preserve">Figure </w:t>
      </w:r>
      <w:r w:rsidR="003875BA">
        <w:rPr>
          <w:rFonts w:eastAsia="Times New Roman"/>
          <w:b/>
          <w:bCs/>
        </w:rPr>
        <w:t>2</w:t>
      </w:r>
      <w:r w:rsidRPr="00BE3735">
        <w:rPr>
          <w:rFonts w:eastAsia="Times New Roman"/>
          <w:b/>
          <w:bCs/>
        </w:rPr>
        <w:t>.</w:t>
      </w:r>
      <w:r w:rsidRPr="00BE3735">
        <w:rPr>
          <w:rFonts w:eastAsia="Times New Roman"/>
        </w:rPr>
        <w:t xml:space="preserve"> Overview of Valuing Water Methods (</w:t>
      </w:r>
      <w:r w:rsidR="00E544E7" w:rsidRPr="00BE3735">
        <w:rPr>
          <w:rFonts w:eastAsia="Times New Roman"/>
        </w:rPr>
        <w:t>IUCN, 2004</w:t>
      </w:r>
      <w:r w:rsidR="00EF1ED1" w:rsidRPr="00BE3735">
        <w:rPr>
          <w:rStyle w:val="FootnoteReference"/>
          <w:rFonts w:eastAsia="Times New Roman"/>
        </w:rPr>
        <w:footnoteReference w:id="6"/>
      </w:r>
      <w:r w:rsidR="00E544E7" w:rsidRPr="00BE3735">
        <w:rPr>
          <w:rFonts w:eastAsia="Times New Roman"/>
        </w:rPr>
        <w:t>; WRG 2030</w:t>
      </w:r>
      <w:r w:rsidR="00EF1ED1" w:rsidRPr="00BE3735">
        <w:rPr>
          <w:rStyle w:val="FootnoteReference"/>
          <w:rFonts w:eastAsia="Times New Roman"/>
        </w:rPr>
        <w:footnoteReference w:id="7"/>
      </w:r>
      <w:r w:rsidR="00E544E7" w:rsidRPr="00BE3735">
        <w:rPr>
          <w:rFonts w:eastAsia="Times New Roman"/>
        </w:rPr>
        <w:t xml:space="preserve">) </w:t>
      </w:r>
    </w:p>
    <w:p w14:paraId="4947B888" w14:textId="77777777" w:rsidR="00111E45" w:rsidRPr="00BE3735" w:rsidRDefault="00111E45" w:rsidP="00943D69">
      <w:pPr>
        <w:spacing w:after="0" w:line="240" w:lineRule="auto"/>
        <w:jc w:val="both"/>
        <w:rPr>
          <w:rFonts w:eastAsia="Times New Roman"/>
        </w:rPr>
      </w:pPr>
    </w:p>
    <w:p w14:paraId="394972B9" w14:textId="4A9324BC" w:rsidR="00943D69" w:rsidRPr="00BE3735" w:rsidRDefault="00943D69" w:rsidP="00943D69">
      <w:pPr>
        <w:spacing w:after="0" w:line="240" w:lineRule="auto"/>
        <w:jc w:val="both"/>
        <w:rPr>
          <w:rFonts w:eastAsia="Times New Roman"/>
        </w:rPr>
      </w:pPr>
      <w:r w:rsidRPr="00BE3735">
        <w:rPr>
          <w:noProof/>
        </w:rPr>
        <w:drawing>
          <wp:inline distT="0" distB="0" distL="0" distR="0" wp14:anchorId="4A5B4C2A" wp14:editId="739DEE09">
            <wp:extent cx="4221616" cy="2984602"/>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525" t="31538" r="63806" b="28658"/>
                    <a:stretch/>
                  </pic:blipFill>
                  <pic:spPr bwMode="auto">
                    <a:xfrm>
                      <a:off x="0" y="0"/>
                      <a:ext cx="4257853" cy="3010221"/>
                    </a:xfrm>
                    <a:prstGeom prst="rect">
                      <a:avLst/>
                    </a:prstGeom>
                    <a:ln>
                      <a:noFill/>
                    </a:ln>
                    <a:extLst>
                      <a:ext uri="{53640926-AAD7-44D8-BBD7-CCE9431645EC}">
                        <a14:shadowObscured xmlns:a14="http://schemas.microsoft.com/office/drawing/2010/main"/>
                      </a:ext>
                    </a:extLst>
                  </pic:spPr>
                </pic:pic>
              </a:graphicData>
            </a:graphic>
          </wp:inline>
        </w:drawing>
      </w:r>
    </w:p>
    <w:p w14:paraId="02872899" w14:textId="77777777" w:rsidR="00B65D16" w:rsidRPr="00BE3735" w:rsidRDefault="00B65D16" w:rsidP="00943D69">
      <w:pPr>
        <w:spacing w:after="0" w:line="240" w:lineRule="auto"/>
        <w:jc w:val="both"/>
        <w:rPr>
          <w:rFonts w:eastAsia="Times New Roman"/>
        </w:rPr>
      </w:pPr>
    </w:p>
    <w:p w14:paraId="73EB2367" w14:textId="339B2F06" w:rsidR="001732E7" w:rsidRPr="00BE3735" w:rsidRDefault="0031304C" w:rsidP="001732E7">
      <w:pPr>
        <w:pStyle w:val="Heading4"/>
        <w:rPr>
          <w:b/>
          <w:bCs/>
        </w:rPr>
      </w:pPr>
      <w:r w:rsidRPr="00BE3735">
        <w:rPr>
          <w:b/>
          <w:bCs/>
        </w:rPr>
        <w:t>E</w:t>
      </w:r>
      <w:r w:rsidR="002C6C40" w:rsidRPr="00BE3735">
        <w:rPr>
          <w:b/>
          <w:bCs/>
        </w:rPr>
        <w:t xml:space="preserve">xpected </w:t>
      </w:r>
      <w:r w:rsidRPr="00BE3735">
        <w:rPr>
          <w:b/>
          <w:bCs/>
        </w:rPr>
        <w:t>O</w:t>
      </w:r>
      <w:r w:rsidR="001732E7" w:rsidRPr="00BE3735">
        <w:rPr>
          <w:b/>
          <w:bCs/>
        </w:rPr>
        <w:t>utputs</w:t>
      </w:r>
      <w:r w:rsidRPr="00BE3735">
        <w:rPr>
          <w:b/>
          <w:bCs/>
        </w:rPr>
        <w:t xml:space="preserve"> and Impact</w:t>
      </w:r>
      <w:r w:rsidR="001732E7" w:rsidRPr="00BE3735">
        <w:rPr>
          <w:b/>
          <w:bCs/>
        </w:rPr>
        <w:br/>
      </w:r>
    </w:p>
    <w:p w14:paraId="2E14D291" w14:textId="607E4A47" w:rsidR="00977199" w:rsidRPr="00BE3735" w:rsidRDefault="00977199" w:rsidP="00977199">
      <w:pPr>
        <w:spacing w:after="0"/>
        <w:jc w:val="both"/>
        <w:rPr>
          <w:rFonts w:eastAsia="Times New Roman"/>
        </w:rPr>
      </w:pPr>
      <w:r w:rsidRPr="00BE3735">
        <w:rPr>
          <w:rFonts w:eastAsia="Times New Roman"/>
        </w:rPr>
        <w:t>This activity will directly contribute to expanding the outputs and impact of</w:t>
      </w:r>
      <w:r w:rsidR="000F3A9E">
        <w:rPr>
          <w:rFonts w:eastAsia="Times New Roman"/>
        </w:rPr>
        <w:t xml:space="preserve"> the global valuing water initiative </w:t>
      </w:r>
      <w:r w:rsidR="005244E1">
        <w:rPr>
          <w:rFonts w:eastAsia="Times New Roman"/>
        </w:rPr>
        <w:t>and in particular</w:t>
      </w:r>
      <w:r w:rsidRPr="00BE3735">
        <w:rPr>
          <w:rFonts w:eastAsia="Times New Roman"/>
        </w:rPr>
        <w:t xml:space="preserve"> </w:t>
      </w:r>
      <w:hyperlink r:id="rId13" w:history="1">
        <w:r w:rsidRPr="00BE3735">
          <w:rPr>
            <w:rStyle w:val="Hyperlink"/>
            <w:rFonts w:eastAsia="Times New Roman"/>
          </w:rPr>
          <w:t>GWP’s Valuing Water portfolio</w:t>
        </w:r>
      </w:hyperlink>
      <w:r w:rsidRPr="00BE3735">
        <w:rPr>
          <w:rFonts w:eastAsia="Times New Roman"/>
        </w:rPr>
        <w:t xml:space="preserve"> </w:t>
      </w:r>
      <w:r w:rsidR="003875BA">
        <w:rPr>
          <w:rFonts w:eastAsia="Times New Roman"/>
        </w:rPr>
        <w:t xml:space="preserve">and the </w:t>
      </w:r>
      <w:hyperlink r:id="rId14" w:history="1">
        <w:r w:rsidR="003875BA" w:rsidRPr="008A0F6D">
          <w:rPr>
            <w:rStyle w:val="Hyperlink"/>
            <w:rFonts w:eastAsia="Times New Roman"/>
          </w:rPr>
          <w:t>SDG 6</w:t>
        </w:r>
        <w:r w:rsidR="008A0F6D" w:rsidRPr="008A0F6D">
          <w:rPr>
            <w:rStyle w:val="Hyperlink"/>
            <w:rFonts w:eastAsia="Times New Roman"/>
          </w:rPr>
          <w:t xml:space="preserve"> IWRM</w:t>
        </w:r>
        <w:r w:rsidR="003875BA" w:rsidRPr="008A0F6D">
          <w:rPr>
            <w:rStyle w:val="Hyperlink"/>
            <w:rFonts w:eastAsia="Times New Roman"/>
          </w:rPr>
          <w:t xml:space="preserve"> Support Programme</w:t>
        </w:r>
      </w:hyperlink>
      <w:r w:rsidR="003875BA">
        <w:rPr>
          <w:rFonts w:eastAsia="Times New Roman"/>
        </w:rPr>
        <w:t xml:space="preserve"> </w:t>
      </w:r>
      <w:r w:rsidRPr="00BE3735">
        <w:t>Specific activit</w:t>
      </w:r>
      <w:r w:rsidR="005244E1">
        <w:t xml:space="preserve">ies under this study is as indicated in Table 1. </w:t>
      </w:r>
      <w:r w:rsidR="00CE7ABB">
        <w:t xml:space="preserve">It may also be considered a contribution to the Valuing Water Initiative, led by the Dutch government. </w:t>
      </w:r>
    </w:p>
    <w:p w14:paraId="6C6DD49D" w14:textId="77777777" w:rsidR="00666CEE" w:rsidRDefault="00666CEE" w:rsidP="00954906">
      <w:pPr>
        <w:spacing w:after="0"/>
        <w:jc w:val="both"/>
        <w:rPr>
          <w:rFonts w:asciiTheme="majorHAnsi" w:eastAsiaTheme="majorEastAsia" w:hAnsiTheme="majorHAnsi" w:cstheme="majorBidi"/>
          <w:b/>
          <w:bCs/>
          <w:i/>
          <w:iCs/>
          <w:color w:val="2E74B5" w:themeColor="accent1" w:themeShade="BF"/>
        </w:rPr>
      </w:pPr>
    </w:p>
    <w:p w14:paraId="02E7F489" w14:textId="77777777" w:rsidR="0010570E" w:rsidRDefault="0010570E" w:rsidP="00954906">
      <w:pPr>
        <w:spacing w:after="0"/>
        <w:jc w:val="both"/>
        <w:rPr>
          <w:rFonts w:eastAsia="Times New Roman"/>
        </w:rPr>
      </w:pPr>
    </w:p>
    <w:p w14:paraId="79133B36" w14:textId="77777777" w:rsidR="0010570E" w:rsidRDefault="0010570E" w:rsidP="00954906">
      <w:pPr>
        <w:spacing w:after="0"/>
        <w:jc w:val="both"/>
        <w:rPr>
          <w:rFonts w:eastAsia="Times New Roman"/>
        </w:rPr>
      </w:pPr>
    </w:p>
    <w:p w14:paraId="7F85ECC8" w14:textId="179CE53E" w:rsidR="002F5B4C" w:rsidRDefault="005C22FD" w:rsidP="00954906">
      <w:pPr>
        <w:spacing w:after="0"/>
        <w:jc w:val="both"/>
        <w:rPr>
          <w:rFonts w:eastAsia="Times New Roman"/>
        </w:rPr>
      </w:pPr>
      <w:r>
        <w:rPr>
          <w:rFonts w:eastAsia="Times New Roman"/>
        </w:rPr>
        <w:t>Furthermore, w</w:t>
      </w:r>
      <w:r w:rsidR="00B26366">
        <w:rPr>
          <w:rFonts w:eastAsia="Times New Roman"/>
        </w:rPr>
        <w:t xml:space="preserve">hile the intention of this report is to establish the true value </w:t>
      </w:r>
      <w:r w:rsidR="005E7062">
        <w:rPr>
          <w:rFonts w:eastAsia="Times New Roman"/>
        </w:rPr>
        <w:t xml:space="preserve">of water for Tanzania as a whole, it is however recommended that the </w:t>
      </w:r>
      <w:r w:rsidR="00DE0BE1">
        <w:rPr>
          <w:rFonts w:eastAsia="Times New Roman"/>
        </w:rPr>
        <w:t xml:space="preserve">experiences </w:t>
      </w:r>
      <w:r w:rsidR="00666CEE">
        <w:rPr>
          <w:rFonts w:eastAsia="Times New Roman"/>
        </w:rPr>
        <w:t>in</w:t>
      </w:r>
      <w:r w:rsidR="00DE0BE1">
        <w:rPr>
          <w:rFonts w:eastAsia="Times New Roman"/>
        </w:rPr>
        <w:t xml:space="preserve"> the </w:t>
      </w:r>
      <w:r w:rsidR="00DE0BE1" w:rsidRPr="19926C8B">
        <w:rPr>
          <w:rFonts w:eastAsia="Times New Roman"/>
        </w:rPr>
        <w:t>Wami-Ruvu basi</w:t>
      </w:r>
      <w:r w:rsidR="00DE0BE1">
        <w:rPr>
          <w:rFonts w:eastAsia="Times New Roman"/>
        </w:rPr>
        <w:t>n</w:t>
      </w:r>
      <w:r w:rsidR="000C071B">
        <w:rPr>
          <w:rFonts w:eastAsia="Times New Roman"/>
        </w:rPr>
        <w:t xml:space="preserve"> could be used as case studies for the broader analysis</w:t>
      </w:r>
      <w:r w:rsidR="00DE0BE1">
        <w:rPr>
          <w:rFonts w:eastAsia="Times New Roman"/>
        </w:rPr>
        <w:t>.</w:t>
      </w:r>
      <w:r w:rsidR="00EF261B">
        <w:rPr>
          <w:rFonts w:eastAsia="Times New Roman"/>
        </w:rPr>
        <w:t xml:space="preserve"> </w:t>
      </w:r>
      <w:r w:rsidR="00DA3770">
        <w:rPr>
          <w:rFonts w:eastAsia="Times New Roman"/>
        </w:rPr>
        <w:t>In this light</w:t>
      </w:r>
      <w:r w:rsidR="00EF261B">
        <w:rPr>
          <w:rFonts w:eastAsia="Times New Roman"/>
        </w:rPr>
        <w:t>,</w:t>
      </w:r>
      <w:r w:rsidR="00DA3770">
        <w:rPr>
          <w:rFonts w:eastAsia="Times New Roman"/>
        </w:rPr>
        <w:t xml:space="preserve"> the expectation is that</w:t>
      </w:r>
      <w:r w:rsidR="00EF261B">
        <w:rPr>
          <w:rFonts w:eastAsia="Times New Roman"/>
        </w:rPr>
        <w:t xml:space="preserve"> this activity</w:t>
      </w:r>
      <w:r w:rsidR="00C7589E" w:rsidRPr="19926C8B">
        <w:rPr>
          <w:rFonts w:eastAsia="Times New Roman"/>
        </w:rPr>
        <w:t xml:space="preserve"> should facilitate the implementation of the four Action Plans for Tanzania developed under Stage 2 of the SDG 6 IWRM Support Programme,</w:t>
      </w:r>
      <w:r>
        <w:rPr>
          <w:rFonts w:eastAsia="Times New Roman"/>
        </w:rPr>
        <w:t xml:space="preserve"> which were</w:t>
      </w:r>
      <w:r w:rsidR="00C7589E" w:rsidRPr="19926C8B">
        <w:rPr>
          <w:rFonts w:eastAsia="Times New Roman"/>
        </w:rPr>
        <w:t xml:space="preserve"> developed with a</w:t>
      </w:r>
      <w:r w:rsidR="002161BA">
        <w:rPr>
          <w:rFonts w:eastAsia="Times New Roman"/>
        </w:rPr>
        <w:t xml:space="preserve"> main</w:t>
      </w:r>
      <w:r w:rsidR="00C7589E" w:rsidRPr="19926C8B">
        <w:rPr>
          <w:rFonts w:eastAsia="Times New Roman"/>
        </w:rPr>
        <w:t xml:space="preserve"> focus on the Wami-Ruvu basin</w:t>
      </w:r>
      <w:r>
        <w:rPr>
          <w:rFonts w:eastAsia="Times New Roman"/>
        </w:rPr>
        <w:t>.</w:t>
      </w:r>
      <w:r w:rsidR="00C2427D" w:rsidRPr="19926C8B">
        <w:rPr>
          <w:rFonts w:eastAsia="Times New Roman"/>
        </w:rPr>
        <w:t xml:space="preserve"> </w:t>
      </w:r>
      <w:r>
        <w:rPr>
          <w:rFonts w:eastAsia="Times New Roman"/>
        </w:rPr>
        <w:t xml:space="preserve">Ultimately, this activity will </w:t>
      </w:r>
      <w:r w:rsidR="00C2427D" w:rsidRPr="19926C8B">
        <w:rPr>
          <w:rFonts w:eastAsia="Times New Roman"/>
        </w:rPr>
        <w:t xml:space="preserve">contribute to facilitating improvement in Tanzania’s score for the degree of implementation of Integrated Water Resources Management (IWRM), as measured through SDG indicator 6.5.1. </w:t>
      </w:r>
    </w:p>
    <w:p w14:paraId="667584F7" w14:textId="77777777" w:rsidR="00C7589E" w:rsidRPr="00BE3735" w:rsidRDefault="00C7589E" w:rsidP="002C6C40">
      <w:pPr>
        <w:spacing w:after="0"/>
        <w:rPr>
          <w:rFonts w:eastAsia="Times New Roman"/>
        </w:rPr>
      </w:pPr>
    </w:p>
    <w:p w14:paraId="58236963" w14:textId="77777777" w:rsidR="002F5B4C" w:rsidRPr="00BE3735" w:rsidRDefault="002F5B4C" w:rsidP="002F5B4C">
      <w:pPr>
        <w:pStyle w:val="Heading4"/>
        <w:rPr>
          <w:b/>
          <w:bCs/>
        </w:rPr>
      </w:pPr>
      <w:r w:rsidRPr="00BE3735">
        <w:rPr>
          <w:b/>
          <w:bCs/>
        </w:rPr>
        <w:t>Timeline</w:t>
      </w:r>
    </w:p>
    <w:p w14:paraId="41CE3A41" w14:textId="77777777" w:rsidR="002F5B4C" w:rsidRPr="00BE3735" w:rsidRDefault="002F5B4C" w:rsidP="0099103C">
      <w:pPr>
        <w:spacing w:after="0"/>
        <w:jc w:val="both"/>
        <w:rPr>
          <w:rFonts w:eastAsia="Times New Roman"/>
        </w:rPr>
      </w:pPr>
    </w:p>
    <w:p w14:paraId="26E2A47B" w14:textId="4699E764" w:rsidR="000F4E67" w:rsidRPr="00BE3735" w:rsidRDefault="00EC36DD" w:rsidP="0099103C">
      <w:pPr>
        <w:spacing w:after="0"/>
        <w:jc w:val="both"/>
        <w:rPr>
          <w:rFonts w:eastAsia="Times New Roman"/>
        </w:rPr>
      </w:pPr>
      <w:r w:rsidRPr="00BE3735">
        <w:rPr>
          <w:rFonts w:eastAsia="Times New Roman"/>
        </w:rPr>
        <w:t>The</w:t>
      </w:r>
      <w:r w:rsidR="003C1397" w:rsidRPr="00BE3735">
        <w:rPr>
          <w:rFonts w:eastAsia="Times New Roman"/>
        </w:rPr>
        <w:t xml:space="preserve"> </w:t>
      </w:r>
      <w:r w:rsidR="00524722" w:rsidRPr="00BE3735">
        <w:rPr>
          <w:rFonts w:eastAsia="Times New Roman"/>
        </w:rPr>
        <w:t xml:space="preserve">development of the </w:t>
      </w:r>
      <w:r w:rsidR="0061618B">
        <w:rPr>
          <w:rFonts w:eastAsia="Times New Roman"/>
        </w:rPr>
        <w:t xml:space="preserve">proposed activity </w:t>
      </w:r>
      <w:r w:rsidR="003C1397" w:rsidRPr="00BE3735">
        <w:rPr>
          <w:rFonts w:eastAsia="Times New Roman"/>
        </w:rPr>
        <w:t>is expected to</w:t>
      </w:r>
      <w:r w:rsidR="00C334EB" w:rsidRPr="00BE3735">
        <w:rPr>
          <w:rFonts w:eastAsia="Times New Roman"/>
        </w:rPr>
        <w:t xml:space="preserve"> take place between </w:t>
      </w:r>
      <w:r w:rsidR="00131743" w:rsidRPr="00BE3735">
        <w:rPr>
          <w:rFonts w:eastAsia="Times New Roman"/>
        </w:rPr>
        <w:t>M</w:t>
      </w:r>
      <w:r w:rsidR="005244E1">
        <w:rPr>
          <w:rFonts w:eastAsia="Times New Roman"/>
        </w:rPr>
        <w:t xml:space="preserve">ay </w:t>
      </w:r>
      <w:r w:rsidR="00C334EB" w:rsidRPr="00BE3735">
        <w:rPr>
          <w:rFonts w:eastAsia="Times New Roman"/>
        </w:rPr>
        <w:t xml:space="preserve">and </w:t>
      </w:r>
      <w:r w:rsidR="00963712">
        <w:rPr>
          <w:rFonts w:eastAsia="Times New Roman"/>
        </w:rPr>
        <w:t>November</w:t>
      </w:r>
      <w:r w:rsidR="00BD3CEC">
        <w:rPr>
          <w:rFonts w:eastAsia="Times New Roman"/>
        </w:rPr>
        <w:t xml:space="preserve"> </w:t>
      </w:r>
      <w:r w:rsidR="00131743" w:rsidRPr="00BE3735">
        <w:rPr>
          <w:rFonts w:eastAsia="Times New Roman"/>
        </w:rPr>
        <w:t>2022</w:t>
      </w:r>
      <w:r w:rsidR="00C334EB" w:rsidRPr="00BE3735">
        <w:rPr>
          <w:rFonts w:eastAsia="Times New Roman"/>
        </w:rPr>
        <w:t xml:space="preserve">, with the aim of </w:t>
      </w:r>
      <w:r w:rsidR="00131743" w:rsidRPr="00BE3735">
        <w:rPr>
          <w:rFonts w:eastAsia="Times New Roman"/>
        </w:rPr>
        <w:t xml:space="preserve">presenting the </w:t>
      </w:r>
      <w:r w:rsidR="00B65D16" w:rsidRPr="00BE3735">
        <w:rPr>
          <w:rFonts w:eastAsia="Times New Roman"/>
        </w:rPr>
        <w:t>results</w:t>
      </w:r>
      <w:r w:rsidR="00131743" w:rsidRPr="00BE3735">
        <w:rPr>
          <w:rFonts w:eastAsia="Times New Roman"/>
        </w:rPr>
        <w:t xml:space="preserve"> at </w:t>
      </w:r>
      <w:r w:rsidR="005244E1">
        <w:rPr>
          <w:rFonts w:eastAsia="Times New Roman"/>
        </w:rPr>
        <w:t xml:space="preserve">the annual National Multi-sectoral Forum on water resources </w:t>
      </w:r>
      <w:r w:rsidR="00131743" w:rsidRPr="00BE3735">
        <w:rPr>
          <w:rFonts w:eastAsia="Times New Roman"/>
        </w:rPr>
        <w:t xml:space="preserve">in </w:t>
      </w:r>
      <w:r w:rsidR="005244E1">
        <w:rPr>
          <w:rFonts w:eastAsia="Times New Roman"/>
        </w:rPr>
        <w:t xml:space="preserve">November </w:t>
      </w:r>
      <w:r w:rsidR="00CB5FA7" w:rsidRPr="00BE3735">
        <w:rPr>
          <w:rFonts w:eastAsia="Times New Roman"/>
        </w:rPr>
        <w:t>(</w:t>
      </w:r>
      <w:r w:rsidR="00A251FB" w:rsidRPr="00BE3735">
        <w:rPr>
          <w:rFonts w:eastAsia="Times New Roman"/>
        </w:rPr>
        <w:t xml:space="preserve">Table </w:t>
      </w:r>
      <w:r w:rsidR="004A732B" w:rsidRPr="00BE3735">
        <w:rPr>
          <w:rFonts w:eastAsia="Times New Roman"/>
        </w:rPr>
        <w:t>1</w:t>
      </w:r>
      <w:r w:rsidR="00A251FB" w:rsidRPr="00BE3735">
        <w:rPr>
          <w:rFonts w:eastAsia="Times New Roman"/>
        </w:rPr>
        <w:t>).</w:t>
      </w:r>
      <w:r w:rsidR="003C1397" w:rsidRPr="00BE3735">
        <w:rPr>
          <w:rFonts w:eastAsia="Times New Roman"/>
        </w:rPr>
        <w:t xml:space="preserve"> </w:t>
      </w:r>
    </w:p>
    <w:p w14:paraId="4AADF28E" w14:textId="0E3F0DAD" w:rsidR="003F7772" w:rsidRPr="00BE3735" w:rsidRDefault="003F7772" w:rsidP="000F4E67">
      <w:pPr>
        <w:spacing w:after="0"/>
        <w:rPr>
          <w:rFonts w:eastAsia="Times New Roman"/>
        </w:rPr>
      </w:pPr>
    </w:p>
    <w:p w14:paraId="52BAF906" w14:textId="1726B809" w:rsidR="00CB5FA7" w:rsidRPr="00BE3735" w:rsidRDefault="003F7772" w:rsidP="000F4E67">
      <w:pPr>
        <w:spacing w:after="0"/>
        <w:rPr>
          <w:rFonts w:eastAsia="Times New Roman"/>
        </w:rPr>
      </w:pPr>
      <w:r w:rsidRPr="00BE3735">
        <w:rPr>
          <w:rFonts w:eastAsia="Times New Roman"/>
          <w:b/>
          <w:bCs/>
        </w:rPr>
        <w:t xml:space="preserve">Table </w:t>
      </w:r>
      <w:r w:rsidR="00851E0C" w:rsidRPr="00BE3735">
        <w:rPr>
          <w:rFonts w:eastAsia="Times New Roman"/>
          <w:b/>
          <w:bCs/>
        </w:rPr>
        <w:t>1</w:t>
      </w:r>
      <w:r w:rsidR="00D50F7D" w:rsidRPr="00BE3735">
        <w:rPr>
          <w:rFonts w:eastAsia="Times New Roman"/>
        </w:rPr>
        <w:t xml:space="preserve">. </w:t>
      </w:r>
      <w:r w:rsidR="004A732B" w:rsidRPr="00BE3735">
        <w:rPr>
          <w:rFonts w:eastAsia="Times New Roman"/>
        </w:rPr>
        <w:t xml:space="preserve">Activity </w:t>
      </w:r>
      <w:r w:rsidRPr="00BE3735">
        <w:rPr>
          <w:rFonts w:eastAsia="Times New Roman"/>
        </w:rPr>
        <w:t>Timeline</w:t>
      </w:r>
    </w:p>
    <w:tbl>
      <w:tblPr>
        <w:tblStyle w:val="TableGrid"/>
        <w:tblW w:w="8994" w:type="dxa"/>
        <w:tblLayout w:type="fixed"/>
        <w:tblLook w:val="04A0" w:firstRow="1" w:lastRow="0" w:firstColumn="1" w:lastColumn="0" w:noHBand="0" w:noVBand="1"/>
      </w:tblPr>
      <w:tblGrid>
        <w:gridCol w:w="3835"/>
        <w:gridCol w:w="737"/>
        <w:gridCol w:w="737"/>
        <w:gridCol w:w="737"/>
        <w:gridCol w:w="737"/>
        <w:gridCol w:w="737"/>
        <w:gridCol w:w="737"/>
        <w:gridCol w:w="737"/>
      </w:tblGrid>
      <w:tr w:rsidR="00963712" w:rsidRPr="00BE3735" w14:paraId="5F7D02CF" w14:textId="5FA3849D" w:rsidTr="0099103C">
        <w:trPr>
          <w:trHeight w:val="324"/>
        </w:trPr>
        <w:tc>
          <w:tcPr>
            <w:tcW w:w="3835" w:type="dxa"/>
          </w:tcPr>
          <w:p w14:paraId="733DBBA4" w14:textId="62607C71" w:rsidR="00963712" w:rsidRPr="00BE3735" w:rsidRDefault="00963712" w:rsidP="00F54FA2">
            <w:pPr>
              <w:pStyle w:val="Heading4"/>
              <w:outlineLvl w:val="3"/>
              <w:rPr>
                <w:i w:val="0"/>
                <w:iCs w:val="0"/>
              </w:rPr>
            </w:pPr>
            <w:r w:rsidRPr="00BE3735">
              <w:rPr>
                <w:i w:val="0"/>
                <w:iCs w:val="0"/>
              </w:rPr>
              <w:t>Activity</w:t>
            </w:r>
          </w:p>
        </w:tc>
        <w:tc>
          <w:tcPr>
            <w:tcW w:w="737" w:type="dxa"/>
          </w:tcPr>
          <w:p w14:paraId="7914EB76" w14:textId="789F0C96" w:rsidR="00963712" w:rsidRPr="00BE3735" w:rsidRDefault="00963712" w:rsidP="38F714B7">
            <w:pPr>
              <w:pStyle w:val="Heading4"/>
              <w:outlineLvl w:val="3"/>
            </w:pPr>
            <w:r>
              <w:t>May</w:t>
            </w:r>
          </w:p>
        </w:tc>
        <w:tc>
          <w:tcPr>
            <w:tcW w:w="737" w:type="dxa"/>
          </w:tcPr>
          <w:p w14:paraId="0B22D892" w14:textId="08B2C251" w:rsidR="00963712" w:rsidRPr="00BE3735" w:rsidRDefault="00963712" w:rsidP="38F714B7">
            <w:pPr>
              <w:pStyle w:val="Heading4"/>
              <w:outlineLvl w:val="3"/>
            </w:pPr>
            <w:r>
              <w:t>June</w:t>
            </w:r>
          </w:p>
        </w:tc>
        <w:tc>
          <w:tcPr>
            <w:tcW w:w="737" w:type="dxa"/>
          </w:tcPr>
          <w:p w14:paraId="4B749058" w14:textId="4CD55F96" w:rsidR="00963712" w:rsidRPr="00BE3735" w:rsidRDefault="00963712" w:rsidP="38F714B7">
            <w:pPr>
              <w:pStyle w:val="Heading4"/>
              <w:outlineLvl w:val="3"/>
            </w:pPr>
            <w:r>
              <w:t>July</w:t>
            </w:r>
          </w:p>
        </w:tc>
        <w:tc>
          <w:tcPr>
            <w:tcW w:w="737" w:type="dxa"/>
          </w:tcPr>
          <w:p w14:paraId="774A51AF" w14:textId="30C0E63E" w:rsidR="00963712" w:rsidRPr="00BE3735" w:rsidRDefault="00963712" w:rsidP="38F714B7">
            <w:pPr>
              <w:pStyle w:val="Heading4"/>
              <w:spacing w:line="259" w:lineRule="auto"/>
              <w:outlineLvl w:val="3"/>
              <w:rPr>
                <w:rFonts w:ascii="Calibri Light" w:eastAsia="DengXian Light" w:hAnsi="Calibri Light" w:cs="Times New Roman"/>
              </w:rPr>
            </w:pPr>
            <w:r>
              <w:rPr>
                <w:rFonts w:ascii="Calibri Light" w:eastAsia="DengXian Light" w:hAnsi="Calibri Light" w:cs="Times New Roman"/>
              </w:rPr>
              <w:t>Aug</w:t>
            </w:r>
          </w:p>
        </w:tc>
        <w:tc>
          <w:tcPr>
            <w:tcW w:w="737" w:type="dxa"/>
          </w:tcPr>
          <w:p w14:paraId="53862915" w14:textId="43E73374" w:rsidR="00963712" w:rsidRPr="00BE3735" w:rsidDel="008019BB" w:rsidRDefault="00963712" w:rsidP="38F714B7">
            <w:pPr>
              <w:pStyle w:val="Heading4"/>
              <w:outlineLvl w:val="3"/>
              <w:rPr>
                <w:rFonts w:ascii="Calibri Light" w:eastAsia="DengXian Light" w:hAnsi="Calibri Light" w:cs="Times New Roman"/>
              </w:rPr>
            </w:pPr>
            <w:r>
              <w:rPr>
                <w:rFonts w:ascii="Calibri Light" w:eastAsia="DengXian Light" w:hAnsi="Calibri Light" w:cs="Times New Roman"/>
              </w:rPr>
              <w:t>Sept</w:t>
            </w:r>
          </w:p>
        </w:tc>
        <w:tc>
          <w:tcPr>
            <w:tcW w:w="737" w:type="dxa"/>
          </w:tcPr>
          <w:p w14:paraId="4D3759CE" w14:textId="734DAFD0" w:rsidR="00963712" w:rsidRPr="00BE3735" w:rsidRDefault="00963712" w:rsidP="38F714B7">
            <w:pPr>
              <w:pStyle w:val="Heading4"/>
              <w:spacing w:line="259" w:lineRule="auto"/>
              <w:outlineLvl w:val="3"/>
              <w:rPr>
                <w:rFonts w:ascii="Calibri Light" w:eastAsia="DengXian Light" w:hAnsi="Calibri Light" w:cs="Times New Roman"/>
              </w:rPr>
            </w:pPr>
            <w:r>
              <w:rPr>
                <w:rFonts w:ascii="Calibri Light" w:eastAsia="DengXian Light" w:hAnsi="Calibri Light" w:cs="Times New Roman"/>
              </w:rPr>
              <w:t>Oct</w:t>
            </w:r>
          </w:p>
        </w:tc>
        <w:tc>
          <w:tcPr>
            <w:tcW w:w="737" w:type="dxa"/>
          </w:tcPr>
          <w:p w14:paraId="1F237402" w14:textId="172B78FD" w:rsidR="00963712" w:rsidRDefault="00963712" w:rsidP="38F714B7">
            <w:pPr>
              <w:pStyle w:val="Heading4"/>
              <w:outlineLvl w:val="3"/>
              <w:rPr>
                <w:rFonts w:ascii="Calibri Light" w:eastAsia="DengXian Light" w:hAnsi="Calibri Light" w:cs="Times New Roman"/>
              </w:rPr>
            </w:pPr>
            <w:r>
              <w:rPr>
                <w:rFonts w:ascii="Calibri Light" w:eastAsia="DengXian Light" w:hAnsi="Calibri Light" w:cs="Times New Roman"/>
              </w:rPr>
              <w:t>Nov</w:t>
            </w:r>
          </w:p>
        </w:tc>
      </w:tr>
      <w:tr w:rsidR="00963712" w:rsidRPr="00BE3735" w14:paraId="66C12D8A" w14:textId="2E26415A" w:rsidTr="0099103C">
        <w:trPr>
          <w:trHeight w:val="812"/>
        </w:trPr>
        <w:tc>
          <w:tcPr>
            <w:tcW w:w="3835" w:type="dxa"/>
          </w:tcPr>
          <w:p w14:paraId="59E1AA45" w14:textId="7991A5F3" w:rsidR="00963712" w:rsidRPr="00BE3735" w:rsidRDefault="00963712" w:rsidP="00F54FA2">
            <w:pPr>
              <w:rPr>
                <w:rFonts w:eastAsia="Times New Roman"/>
              </w:rPr>
            </w:pPr>
            <w:r w:rsidRPr="00BE3735">
              <w:rPr>
                <w:rFonts w:eastAsia="Times New Roman"/>
              </w:rPr>
              <w:t xml:space="preserve">Desk review of potential key economic activities/sectors and </w:t>
            </w:r>
            <w:r>
              <w:rPr>
                <w:rFonts w:eastAsia="Times New Roman"/>
              </w:rPr>
              <w:t xml:space="preserve">development of </w:t>
            </w:r>
            <w:r w:rsidRPr="00BE3735">
              <w:rPr>
                <w:rFonts w:eastAsia="Times New Roman"/>
              </w:rPr>
              <w:t>economic valuation techniques</w:t>
            </w:r>
            <w:r>
              <w:rPr>
                <w:rFonts w:eastAsia="Times New Roman"/>
              </w:rPr>
              <w:t xml:space="preserve"> (methodology)</w:t>
            </w:r>
            <w:r w:rsidRPr="00BE3735">
              <w:rPr>
                <w:rFonts w:eastAsia="Times New Roman"/>
              </w:rPr>
              <w:t xml:space="preserve"> </w:t>
            </w:r>
          </w:p>
        </w:tc>
        <w:tc>
          <w:tcPr>
            <w:tcW w:w="737" w:type="dxa"/>
            <w:shd w:val="clear" w:color="auto" w:fill="D9E2F3" w:themeFill="accent5" w:themeFillTint="33"/>
          </w:tcPr>
          <w:p w14:paraId="69AB3A93" w14:textId="1055A2E6" w:rsidR="00963712" w:rsidRPr="00BE3735" w:rsidRDefault="00963712" w:rsidP="00F54FA2">
            <w:pPr>
              <w:rPr>
                <w:rFonts w:eastAsia="Times New Roman"/>
              </w:rPr>
            </w:pPr>
          </w:p>
        </w:tc>
        <w:tc>
          <w:tcPr>
            <w:tcW w:w="737" w:type="dxa"/>
          </w:tcPr>
          <w:p w14:paraId="68F3176E" w14:textId="77777777" w:rsidR="00963712" w:rsidRPr="00BE3735" w:rsidRDefault="00963712" w:rsidP="00F54FA2">
            <w:pPr>
              <w:rPr>
                <w:rFonts w:eastAsia="Times New Roman"/>
              </w:rPr>
            </w:pPr>
          </w:p>
        </w:tc>
        <w:tc>
          <w:tcPr>
            <w:tcW w:w="737" w:type="dxa"/>
          </w:tcPr>
          <w:p w14:paraId="50D6C4BB" w14:textId="77777777" w:rsidR="00963712" w:rsidRPr="00BE3735" w:rsidRDefault="00963712" w:rsidP="00F54FA2">
            <w:pPr>
              <w:rPr>
                <w:rFonts w:eastAsia="Times New Roman"/>
              </w:rPr>
            </w:pPr>
          </w:p>
        </w:tc>
        <w:tc>
          <w:tcPr>
            <w:tcW w:w="737" w:type="dxa"/>
          </w:tcPr>
          <w:p w14:paraId="5A4617BE" w14:textId="77777777" w:rsidR="00963712" w:rsidRPr="00BE3735" w:rsidRDefault="00963712" w:rsidP="00F54FA2">
            <w:pPr>
              <w:rPr>
                <w:rFonts w:eastAsia="Times New Roman"/>
              </w:rPr>
            </w:pPr>
          </w:p>
        </w:tc>
        <w:tc>
          <w:tcPr>
            <w:tcW w:w="737" w:type="dxa"/>
          </w:tcPr>
          <w:p w14:paraId="097A4937" w14:textId="77777777" w:rsidR="00963712" w:rsidRPr="00BE3735" w:rsidRDefault="00963712" w:rsidP="00F54FA2">
            <w:pPr>
              <w:rPr>
                <w:rFonts w:eastAsia="Times New Roman"/>
              </w:rPr>
            </w:pPr>
          </w:p>
        </w:tc>
        <w:tc>
          <w:tcPr>
            <w:tcW w:w="737" w:type="dxa"/>
          </w:tcPr>
          <w:p w14:paraId="4E09BDBF" w14:textId="5CE2F267" w:rsidR="00963712" w:rsidRPr="00BE3735" w:rsidRDefault="00963712" w:rsidP="00F54FA2">
            <w:pPr>
              <w:rPr>
                <w:rFonts w:eastAsia="Times New Roman"/>
              </w:rPr>
            </w:pPr>
          </w:p>
        </w:tc>
        <w:tc>
          <w:tcPr>
            <w:tcW w:w="737" w:type="dxa"/>
          </w:tcPr>
          <w:p w14:paraId="0CA5DE42" w14:textId="77777777" w:rsidR="00963712" w:rsidRPr="00BE3735" w:rsidRDefault="00963712" w:rsidP="00F54FA2">
            <w:pPr>
              <w:rPr>
                <w:rFonts w:eastAsia="Times New Roman"/>
              </w:rPr>
            </w:pPr>
          </w:p>
        </w:tc>
      </w:tr>
      <w:tr w:rsidR="00963712" w:rsidRPr="00BE3735" w14:paraId="39FBD13D" w14:textId="524C452B" w:rsidTr="0099103C">
        <w:trPr>
          <w:trHeight w:val="812"/>
        </w:trPr>
        <w:tc>
          <w:tcPr>
            <w:tcW w:w="3835" w:type="dxa"/>
          </w:tcPr>
          <w:p w14:paraId="67F989AB" w14:textId="3D063CD9" w:rsidR="00963712" w:rsidRPr="00BE3735" w:rsidRDefault="00963712" w:rsidP="00F54FA2">
            <w:pPr>
              <w:rPr>
                <w:rFonts w:eastAsia="Times New Roman"/>
              </w:rPr>
            </w:pPr>
            <w:r>
              <w:rPr>
                <w:rFonts w:eastAsia="Times New Roman"/>
              </w:rPr>
              <w:t xml:space="preserve">National consultation workshop for key stakeholders and water sector related ministries </w:t>
            </w:r>
            <w:r w:rsidR="0099103C">
              <w:rPr>
                <w:rFonts w:eastAsia="Times New Roman"/>
              </w:rPr>
              <w:t xml:space="preserve">including MoW management and Donor Partners Group representatives </w:t>
            </w:r>
            <w:r>
              <w:rPr>
                <w:rFonts w:eastAsia="Times New Roman"/>
              </w:rPr>
              <w:t>(to discuss and validate the methodological framework)</w:t>
            </w:r>
            <w:r w:rsidR="0099103C">
              <w:rPr>
                <w:rFonts w:eastAsia="Times New Roman"/>
              </w:rPr>
              <w:t xml:space="preserve"> </w:t>
            </w:r>
          </w:p>
        </w:tc>
        <w:tc>
          <w:tcPr>
            <w:tcW w:w="737" w:type="dxa"/>
            <w:shd w:val="clear" w:color="auto" w:fill="FFFFFF" w:themeFill="background1"/>
          </w:tcPr>
          <w:p w14:paraId="6B236386" w14:textId="77777777" w:rsidR="00963712" w:rsidRPr="00BE3735" w:rsidRDefault="00963712" w:rsidP="00F54FA2">
            <w:pPr>
              <w:rPr>
                <w:rFonts w:eastAsia="Times New Roman"/>
              </w:rPr>
            </w:pPr>
          </w:p>
        </w:tc>
        <w:tc>
          <w:tcPr>
            <w:tcW w:w="737" w:type="dxa"/>
            <w:shd w:val="clear" w:color="auto" w:fill="D9E2F3" w:themeFill="accent5" w:themeFillTint="33"/>
          </w:tcPr>
          <w:p w14:paraId="47ADF5EE" w14:textId="77777777" w:rsidR="00963712" w:rsidRPr="00BE3735" w:rsidRDefault="00963712" w:rsidP="00F54FA2">
            <w:pPr>
              <w:rPr>
                <w:rFonts w:eastAsia="Times New Roman"/>
              </w:rPr>
            </w:pPr>
          </w:p>
        </w:tc>
        <w:tc>
          <w:tcPr>
            <w:tcW w:w="737" w:type="dxa"/>
            <w:shd w:val="clear" w:color="auto" w:fill="FFFFFF" w:themeFill="background1"/>
          </w:tcPr>
          <w:p w14:paraId="77C074D0" w14:textId="77777777" w:rsidR="00963712" w:rsidRPr="00BE3735" w:rsidRDefault="00963712" w:rsidP="00F54FA2">
            <w:pPr>
              <w:rPr>
                <w:rFonts w:eastAsia="Times New Roman"/>
              </w:rPr>
            </w:pPr>
          </w:p>
        </w:tc>
        <w:tc>
          <w:tcPr>
            <w:tcW w:w="737" w:type="dxa"/>
          </w:tcPr>
          <w:p w14:paraId="2D4E4919" w14:textId="77777777" w:rsidR="00963712" w:rsidRPr="00BE3735" w:rsidRDefault="00963712" w:rsidP="00F54FA2">
            <w:pPr>
              <w:rPr>
                <w:rFonts w:eastAsia="Times New Roman"/>
              </w:rPr>
            </w:pPr>
          </w:p>
        </w:tc>
        <w:tc>
          <w:tcPr>
            <w:tcW w:w="737" w:type="dxa"/>
          </w:tcPr>
          <w:p w14:paraId="3D73B7A9" w14:textId="77777777" w:rsidR="00963712" w:rsidRPr="00BE3735" w:rsidRDefault="00963712" w:rsidP="00F54FA2">
            <w:pPr>
              <w:rPr>
                <w:rFonts w:eastAsia="Times New Roman"/>
              </w:rPr>
            </w:pPr>
          </w:p>
        </w:tc>
        <w:tc>
          <w:tcPr>
            <w:tcW w:w="737" w:type="dxa"/>
          </w:tcPr>
          <w:p w14:paraId="2F570F89" w14:textId="335776C2" w:rsidR="00963712" w:rsidRPr="00BE3735" w:rsidRDefault="00963712" w:rsidP="00F54FA2">
            <w:pPr>
              <w:rPr>
                <w:rFonts w:eastAsia="Times New Roman"/>
              </w:rPr>
            </w:pPr>
          </w:p>
        </w:tc>
        <w:tc>
          <w:tcPr>
            <w:tcW w:w="737" w:type="dxa"/>
          </w:tcPr>
          <w:p w14:paraId="53066F7E" w14:textId="77777777" w:rsidR="00963712" w:rsidRPr="00BE3735" w:rsidRDefault="00963712" w:rsidP="00F54FA2">
            <w:pPr>
              <w:rPr>
                <w:rFonts w:eastAsia="Times New Roman"/>
              </w:rPr>
            </w:pPr>
          </w:p>
        </w:tc>
      </w:tr>
      <w:tr w:rsidR="00963712" w:rsidRPr="00BE3735" w14:paraId="3B9E3044" w14:textId="7082CD68" w:rsidTr="0099103C">
        <w:trPr>
          <w:trHeight w:val="340"/>
        </w:trPr>
        <w:tc>
          <w:tcPr>
            <w:tcW w:w="3835" w:type="dxa"/>
          </w:tcPr>
          <w:p w14:paraId="1BFCE937" w14:textId="529DE946" w:rsidR="00963712" w:rsidRPr="00BE3735" w:rsidRDefault="00963712" w:rsidP="00F54FA2">
            <w:pPr>
              <w:rPr>
                <w:rFonts w:eastAsia="Times New Roman"/>
              </w:rPr>
            </w:pPr>
            <w:r>
              <w:rPr>
                <w:rFonts w:eastAsia="Times New Roman"/>
              </w:rPr>
              <w:t>Undertaking of the study</w:t>
            </w:r>
            <w:r w:rsidRPr="00BE3735">
              <w:rPr>
                <w:rFonts w:eastAsia="Times New Roman"/>
              </w:rPr>
              <w:t xml:space="preserve"> </w:t>
            </w:r>
            <w:r>
              <w:rPr>
                <w:rFonts w:eastAsia="Times New Roman"/>
              </w:rPr>
              <w:t>(applying the methodological framework)</w:t>
            </w:r>
          </w:p>
        </w:tc>
        <w:tc>
          <w:tcPr>
            <w:tcW w:w="737" w:type="dxa"/>
            <w:shd w:val="clear" w:color="auto" w:fill="FFFFFF" w:themeFill="background1"/>
          </w:tcPr>
          <w:p w14:paraId="1A81855A" w14:textId="4420F715" w:rsidR="00963712" w:rsidRPr="00BE3735" w:rsidRDefault="00963712" w:rsidP="00F54FA2">
            <w:pPr>
              <w:rPr>
                <w:rFonts w:eastAsia="Times New Roman"/>
              </w:rPr>
            </w:pPr>
          </w:p>
        </w:tc>
        <w:tc>
          <w:tcPr>
            <w:tcW w:w="737" w:type="dxa"/>
            <w:shd w:val="clear" w:color="auto" w:fill="DEEAF6" w:themeFill="accent1" w:themeFillTint="33"/>
          </w:tcPr>
          <w:p w14:paraId="75E59EC4" w14:textId="77777777" w:rsidR="00963712" w:rsidRPr="00BE3735" w:rsidRDefault="00963712" w:rsidP="00F54FA2">
            <w:pPr>
              <w:rPr>
                <w:rFonts w:eastAsia="Times New Roman"/>
              </w:rPr>
            </w:pPr>
          </w:p>
        </w:tc>
        <w:tc>
          <w:tcPr>
            <w:tcW w:w="737" w:type="dxa"/>
            <w:shd w:val="clear" w:color="auto" w:fill="DEEAF6" w:themeFill="accent1" w:themeFillTint="33"/>
          </w:tcPr>
          <w:p w14:paraId="0508B394" w14:textId="77777777" w:rsidR="00963712" w:rsidRPr="00BE3735" w:rsidRDefault="00963712" w:rsidP="00F54FA2">
            <w:pPr>
              <w:rPr>
                <w:rFonts w:eastAsia="Times New Roman"/>
              </w:rPr>
            </w:pPr>
          </w:p>
        </w:tc>
        <w:tc>
          <w:tcPr>
            <w:tcW w:w="737" w:type="dxa"/>
            <w:shd w:val="clear" w:color="auto" w:fill="DEEAF6" w:themeFill="accent1" w:themeFillTint="33"/>
          </w:tcPr>
          <w:p w14:paraId="39DDD74F" w14:textId="77777777" w:rsidR="00963712" w:rsidRPr="00BE3735" w:rsidRDefault="00963712" w:rsidP="00F54FA2">
            <w:pPr>
              <w:rPr>
                <w:rFonts w:eastAsia="Times New Roman"/>
              </w:rPr>
            </w:pPr>
          </w:p>
        </w:tc>
        <w:tc>
          <w:tcPr>
            <w:tcW w:w="737" w:type="dxa"/>
            <w:shd w:val="clear" w:color="auto" w:fill="DEEAF6" w:themeFill="accent1" w:themeFillTint="33"/>
          </w:tcPr>
          <w:p w14:paraId="3169B3C6" w14:textId="77777777" w:rsidR="00963712" w:rsidRPr="00BE3735" w:rsidRDefault="00963712" w:rsidP="00F54FA2">
            <w:pPr>
              <w:rPr>
                <w:rFonts w:eastAsia="Times New Roman"/>
              </w:rPr>
            </w:pPr>
          </w:p>
        </w:tc>
        <w:tc>
          <w:tcPr>
            <w:tcW w:w="737" w:type="dxa"/>
          </w:tcPr>
          <w:p w14:paraId="0E99C16D" w14:textId="72B8AA49" w:rsidR="00963712" w:rsidRPr="00BE3735" w:rsidRDefault="00963712" w:rsidP="00F54FA2">
            <w:pPr>
              <w:rPr>
                <w:rFonts w:eastAsia="Times New Roman"/>
              </w:rPr>
            </w:pPr>
          </w:p>
        </w:tc>
        <w:tc>
          <w:tcPr>
            <w:tcW w:w="737" w:type="dxa"/>
          </w:tcPr>
          <w:p w14:paraId="650EF4E8" w14:textId="77777777" w:rsidR="00963712" w:rsidRPr="00BE3735" w:rsidRDefault="00963712" w:rsidP="00F54FA2">
            <w:pPr>
              <w:rPr>
                <w:rFonts w:eastAsia="Times New Roman"/>
              </w:rPr>
            </w:pPr>
          </w:p>
        </w:tc>
      </w:tr>
      <w:tr w:rsidR="00963712" w:rsidRPr="00BE3735" w14:paraId="599F8B9B" w14:textId="09D6584D" w:rsidTr="0099103C">
        <w:trPr>
          <w:trHeight w:val="340"/>
        </w:trPr>
        <w:tc>
          <w:tcPr>
            <w:tcW w:w="3835" w:type="dxa"/>
          </w:tcPr>
          <w:p w14:paraId="1F158EA2" w14:textId="650288C8" w:rsidR="00963712" w:rsidRPr="00BE3735" w:rsidRDefault="00963712" w:rsidP="00F54FA2">
            <w:pPr>
              <w:rPr>
                <w:rFonts w:eastAsia="Times New Roman"/>
              </w:rPr>
            </w:pPr>
            <w:r>
              <w:rPr>
                <w:rFonts w:eastAsia="Times New Roman"/>
              </w:rPr>
              <w:t>Present the outcome of the study to inter-ministerial team (water related ministries)</w:t>
            </w:r>
            <w:r w:rsidR="0099103C">
              <w:rPr>
                <w:rFonts w:eastAsia="Times New Roman"/>
              </w:rPr>
              <w:t xml:space="preserve"> including to the Management of Ministry of Water</w:t>
            </w:r>
          </w:p>
        </w:tc>
        <w:tc>
          <w:tcPr>
            <w:tcW w:w="737" w:type="dxa"/>
            <w:shd w:val="clear" w:color="auto" w:fill="FFFFFF" w:themeFill="background1"/>
          </w:tcPr>
          <w:p w14:paraId="190D8D42" w14:textId="77777777" w:rsidR="00963712" w:rsidRPr="00BE3735" w:rsidRDefault="00963712" w:rsidP="00F54FA2">
            <w:pPr>
              <w:rPr>
                <w:rFonts w:eastAsia="Times New Roman"/>
              </w:rPr>
            </w:pPr>
          </w:p>
        </w:tc>
        <w:tc>
          <w:tcPr>
            <w:tcW w:w="737" w:type="dxa"/>
            <w:shd w:val="clear" w:color="auto" w:fill="FFFFFF" w:themeFill="background1"/>
          </w:tcPr>
          <w:p w14:paraId="37F0DD7E" w14:textId="77777777" w:rsidR="00963712" w:rsidRPr="00BE3735" w:rsidRDefault="00963712" w:rsidP="00F54FA2">
            <w:pPr>
              <w:rPr>
                <w:rFonts w:eastAsia="Times New Roman"/>
              </w:rPr>
            </w:pPr>
          </w:p>
        </w:tc>
        <w:tc>
          <w:tcPr>
            <w:tcW w:w="737" w:type="dxa"/>
            <w:shd w:val="clear" w:color="auto" w:fill="FFFFFF" w:themeFill="background1"/>
          </w:tcPr>
          <w:p w14:paraId="2E6DED50" w14:textId="77777777" w:rsidR="00963712" w:rsidRPr="00BE3735" w:rsidRDefault="00963712" w:rsidP="00F54FA2">
            <w:pPr>
              <w:rPr>
                <w:rFonts w:eastAsia="Times New Roman"/>
              </w:rPr>
            </w:pPr>
          </w:p>
        </w:tc>
        <w:tc>
          <w:tcPr>
            <w:tcW w:w="737" w:type="dxa"/>
            <w:shd w:val="clear" w:color="auto" w:fill="FFFFFF" w:themeFill="background1"/>
          </w:tcPr>
          <w:p w14:paraId="4A35D4ED" w14:textId="77777777" w:rsidR="00963712" w:rsidRPr="00BE3735" w:rsidRDefault="00963712" w:rsidP="00F54FA2">
            <w:pPr>
              <w:rPr>
                <w:rFonts w:eastAsia="Times New Roman"/>
              </w:rPr>
            </w:pPr>
          </w:p>
        </w:tc>
        <w:tc>
          <w:tcPr>
            <w:tcW w:w="737" w:type="dxa"/>
            <w:shd w:val="clear" w:color="auto" w:fill="FFFFFF" w:themeFill="background1"/>
          </w:tcPr>
          <w:p w14:paraId="27A81F78" w14:textId="77777777" w:rsidR="00963712" w:rsidRPr="00BE3735" w:rsidRDefault="00963712" w:rsidP="00F54FA2">
            <w:pPr>
              <w:rPr>
                <w:rFonts w:eastAsia="Times New Roman"/>
              </w:rPr>
            </w:pPr>
          </w:p>
        </w:tc>
        <w:tc>
          <w:tcPr>
            <w:tcW w:w="737" w:type="dxa"/>
            <w:shd w:val="clear" w:color="auto" w:fill="DEEAF6" w:themeFill="accent1" w:themeFillTint="33"/>
          </w:tcPr>
          <w:p w14:paraId="0E367127" w14:textId="3F227325" w:rsidR="00963712" w:rsidRPr="00BE3735" w:rsidRDefault="00963712" w:rsidP="00F54FA2">
            <w:pPr>
              <w:rPr>
                <w:rFonts w:eastAsia="Times New Roman"/>
              </w:rPr>
            </w:pPr>
          </w:p>
        </w:tc>
        <w:tc>
          <w:tcPr>
            <w:tcW w:w="737" w:type="dxa"/>
            <w:shd w:val="clear" w:color="auto" w:fill="FFFFFF" w:themeFill="background1"/>
          </w:tcPr>
          <w:p w14:paraId="7F064AA6" w14:textId="77777777" w:rsidR="00963712" w:rsidRPr="00BE3735" w:rsidRDefault="00963712" w:rsidP="00F54FA2">
            <w:pPr>
              <w:rPr>
                <w:rFonts w:eastAsia="Times New Roman"/>
              </w:rPr>
            </w:pPr>
          </w:p>
        </w:tc>
      </w:tr>
      <w:tr w:rsidR="00963712" w:rsidRPr="00BE3735" w14:paraId="5795D2E1" w14:textId="4236A81A" w:rsidTr="0099103C">
        <w:trPr>
          <w:trHeight w:val="53"/>
        </w:trPr>
        <w:tc>
          <w:tcPr>
            <w:tcW w:w="3835" w:type="dxa"/>
          </w:tcPr>
          <w:p w14:paraId="3EAE66FC" w14:textId="65ED3E06" w:rsidR="00963712" w:rsidRPr="00BE3735" w:rsidRDefault="00963712" w:rsidP="00F54FA2">
            <w:pPr>
              <w:rPr>
                <w:rFonts w:eastAsia="Times New Roman"/>
              </w:rPr>
            </w:pPr>
            <w:r>
              <w:rPr>
                <w:rFonts w:eastAsia="Times New Roman"/>
              </w:rPr>
              <w:t>Official launch of the report “Economic Value of Water for Tanzania” during the 2022 National Multi-sectoral forum</w:t>
            </w:r>
          </w:p>
        </w:tc>
        <w:tc>
          <w:tcPr>
            <w:tcW w:w="737" w:type="dxa"/>
          </w:tcPr>
          <w:p w14:paraId="14366D8D" w14:textId="77777777" w:rsidR="00963712" w:rsidRPr="00BE3735" w:rsidRDefault="00963712" w:rsidP="00F54FA2">
            <w:pPr>
              <w:rPr>
                <w:rFonts w:eastAsia="Times New Roman"/>
              </w:rPr>
            </w:pPr>
          </w:p>
        </w:tc>
        <w:tc>
          <w:tcPr>
            <w:tcW w:w="737" w:type="dxa"/>
            <w:shd w:val="clear" w:color="auto" w:fill="FFFFFF" w:themeFill="background1"/>
          </w:tcPr>
          <w:p w14:paraId="07157366" w14:textId="3FB3BDFD" w:rsidR="00963712" w:rsidRPr="00BE3735" w:rsidRDefault="00963712" w:rsidP="00F54FA2">
            <w:pPr>
              <w:rPr>
                <w:rFonts w:eastAsia="Times New Roman"/>
              </w:rPr>
            </w:pPr>
          </w:p>
        </w:tc>
        <w:tc>
          <w:tcPr>
            <w:tcW w:w="737" w:type="dxa"/>
            <w:shd w:val="clear" w:color="auto" w:fill="FFFFFF" w:themeFill="background1"/>
          </w:tcPr>
          <w:p w14:paraId="5CF8B3DE" w14:textId="77777777" w:rsidR="00963712" w:rsidRPr="00BE3735" w:rsidRDefault="00963712" w:rsidP="00F54FA2">
            <w:pPr>
              <w:rPr>
                <w:rFonts w:eastAsia="Times New Roman"/>
              </w:rPr>
            </w:pPr>
          </w:p>
        </w:tc>
        <w:tc>
          <w:tcPr>
            <w:tcW w:w="737" w:type="dxa"/>
            <w:shd w:val="clear" w:color="auto" w:fill="FFFFFF" w:themeFill="background1"/>
          </w:tcPr>
          <w:p w14:paraId="4C19451B" w14:textId="77777777" w:rsidR="00963712" w:rsidRPr="00BE3735" w:rsidRDefault="00963712" w:rsidP="00F54FA2">
            <w:pPr>
              <w:rPr>
                <w:rFonts w:eastAsia="Times New Roman"/>
              </w:rPr>
            </w:pPr>
          </w:p>
        </w:tc>
        <w:tc>
          <w:tcPr>
            <w:tcW w:w="737" w:type="dxa"/>
            <w:shd w:val="clear" w:color="auto" w:fill="FFFFFF" w:themeFill="background1"/>
          </w:tcPr>
          <w:p w14:paraId="2A075120" w14:textId="77777777" w:rsidR="00963712" w:rsidRPr="00BE3735" w:rsidRDefault="00963712" w:rsidP="00F54FA2">
            <w:pPr>
              <w:rPr>
                <w:rFonts w:eastAsia="Times New Roman"/>
              </w:rPr>
            </w:pPr>
          </w:p>
        </w:tc>
        <w:tc>
          <w:tcPr>
            <w:tcW w:w="737" w:type="dxa"/>
            <w:shd w:val="clear" w:color="auto" w:fill="FFFFFF" w:themeFill="background1"/>
          </w:tcPr>
          <w:p w14:paraId="007D0783" w14:textId="2A6CC67C" w:rsidR="00963712" w:rsidRPr="00BE3735" w:rsidRDefault="00963712" w:rsidP="00F54FA2">
            <w:pPr>
              <w:rPr>
                <w:rFonts w:eastAsia="Times New Roman"/>
              </w:rPr>
            </w:pPr>
          </w:p>
        </w:tc>
        <w:tc>
          <w:tcPr>
            <w:tcW w:w="737" w:type="dxa"/>
            <w:shd w:val="clear" w:color="auto" w:fill="DEEAF6" w:themeFill="accent1" w:themeFillTint="33"/>
          </w:tcPr>
          <w:p w14:paraId="45DBB5E7" w14:textId="77777777" w:rsidR="00963712" w:rsidRPr="00BE3735" w:rsidRDefault="00963712" w:rsidP="00F54FA2">
            <w:pPr>
              <w:rPr>
                <w:rFonts w:eastAsia="Times New Roman"/>
              </w:rPr>
            </w:pPr>
          </w:p>
        </w:tc>
      </w:tr>
    </w:tbl>
    <w:p w14:paraId="65B8D5EB" w14:textId="77777777" w:rsidR="00131743" w:rsidRPr="00BE3735" w:rsidRDefault="00131743" w:rsidP="00131743">
      <w:pPr>
        <w:pStyle w:val="Heading4"/>
        <w:rPr>
          <w:b/>
          <w:bCs/>
        </w:rPr>
      </w:pPr>
    </w:p>
    <w:p w14:paraId="672AD450" w14:textId="2F7990E8" w:rsidR="00131743" w:rsidRPr="00BE3735" w:rsidRDefault="00131743" w:rsidP="00131743">
      <w:pPr>
        <w:pStyle w:val="Heading4"/>
        <w:rPr>
          <w:b/>
          <w:bCs/>
        </w:rPr>
      </w:pPr>
      <w:r w:rsidRPr="00BE3735">
        <w:rPr>
          <w:b/>
          <w:bCs/>
        </w:rPr>
        <w:t>Budget</w:t>
      </w:r>
    </w:p>
    <w:p w14:paraId="711FE491" w14:textId="77777777" w:rsidR="00131743" w:rsidRPr="00BE3735" w:rsidRDefault="00131743" w:rsidP="00131743">
      <w:pPr>
        <w:spacing w:after="0"/>
        <w:rPr>
          <w:rFonts w:eastAsia="Times New Roman"/>
        </w:rPr>
      </w:pPr>
    </w:p>
    <w:p w14:paraId="00E4270B" w14:textId="1D5A5221" w:rsidR="004A732B" w:rsidRDefault="000F3A9E" w:rsidP="0099103C">
      <w:pPr>
        <w:spacing w:after="0"/>
        <w:jc w:val="both"/>
        <w:rPr>
          <w:rFonts w:eastAsia="Times New Roman"/>
        </w:rPr>
      </w:pPr>
      <w:r>
        <w:rPr>
          <w:rFonts w:eastAsia="Times New Roman"/>
        </w:rPr>
        <w:t>Given the intensive and extensive consultation nature of the exercise, the provisional budget</w:t>
      </w:r>
      <w:r w:rsidR="00E3037C">
        <w:rPr>
          <w:rFonts w:eastAsia="Times New Roman"/>
        </w:rPr>
        <w:t>ary requirement</w:t>
      </w:r>
      <w:r>
        <w:rPr>
          <w:rFonts w:eastAsia="Times New Roman"/>
        </w:rPr>
        <w:t xml:space="preserve"> for the whole exercise is estimated to be EUR 5</w:t>
      </w:r>
      <w:r w:rsidR="00DE40A8">
        <w:rPr>
          <w:rFonts w:eastAsia="Times New Roman"/>
        </w:rPr>
        <w:t>1</w:t>
      </w:r>
      <w:r>
        <w:rPr>
          <w:rFonts w:eastAsia="Times New Roman"/>
        </w:rPr>
        <w:t>,</w:t>
      </w:r>
      <w:r w:rsidR="00DE40A8">
        <w:rPr>
          <w:rFonts w:eastAsia="Times New Roman"/>
        </w:rPr>
        <w:t>5</w:t>
      </w:r>
      <w:r>
        <w:rPr>
          <w:rFonts w:eastAsia="Times New Roman"/>
        </w:rPr>
        <w:t xml:space="preserve">00. GWP will provide an </w:t>
      </w:r>
      <w:r w:rsidR="006F32FC">
        <w:rPr>
          <w:rFonts w:eastAsia="Times New Roman"/>
        </w:rPr>
        <w:t xml:space="preserve">indicative </w:t>
      </w:r>
      <w:r>
        <w:rPr>
          <w:rFonts w:eastAsia="Times New Roman"/>
        </w:rPr>
        <w:t xml:space="preserve">support of EUR </w:t>
      </w:r>
      <w:r w:rsidR="00DE40A8">
        <w:rPr>
          <w:rFonts w:eastAsia="Times New Roman"/>
        </w:rPr>
        <w:t>20</w:t>
      </w:r>
      <w:r w:rsidR="00C13F30">
        <w:rPr>
          <w:rFonts w:eastAsia="Times New Roman"/>
        </w:rPr>
        <w:t>,</w:t>
      </w:r>
      <w:r w:rsidR="00DE40A8">
        <w:rPr>
          <w:rFonts w:eastAsia="Times New Roman"/>
        </w:rPr>
        <w:t>0</w:t>
      </w:r>
      <w:r w:rsidR="00C13F30">
        <w:rPr>
          <w:rFonts w:eastAsia="Times New Roman"/>
        </w:rPr>
        <w:t>00</w:t>
      </w:r>
      <w:r>
        <w:rPr>
          <w:rFonts w:eastAsia="Times New Roman"/>
        </w:rPr>
        <w:t xml:space="preserve"> </w:t>
      </w:r>
      <w:r w:rsidR="006F32FC">
        <w:rPr>
          <w:rFonts w:eastAsia="Times New Roman"/>
        </w:rPr>
        <w:t>from the SDGs and the Multi-Stakeholder Processes budgets</w:t>
      </w:r>
      <w:r>
        <w:rPr>
          <w:rFonts w:eastAsia="Times New Roman"/>
        </w:rPr>
        <w:t>.</w:t>
      </w:r>
      <w:r w:rsidR="0018507A">
        <w:rPr>
          <w:rFonts w:eastAsia="Times New Roman"/>
        </w:rPr>
        <w:t xml:space="preserve"> This indicative budget will cover time input of the consultant and not facilitation to convene or participate in the stakeholder processes. </w:t>
      </w:r>
      <w:r>
        <w:rPr>
          <w:rFonts w:eastAsia="Times New Roman"/>
        </w:rPr>
        <w:t xml:space="preserve">It is envisaged that the other cost </w:t>
      </w:r>
      <w:r w:rsidR="00C13F30">
        <w:rPr>
          <w:rFonts w:eastAsia="Times New Roman"/>
        </w:rPr>
        <w:t xml:space="preserve">of EUR 31,500 </w:t>
      </w:r>
      <w:r>
        <w:rPr>
          <w:rFonts w:eastAsia="Times New Roman"/>
        </w:rPr>
        <w:t xml:space="preserve">will be </w:t>
      </w:r>
      <w:r w:rsidR="00C13F30">
        <w:rPr>
          <w:rFonts w:eastAsia="Times New Roman"/>
        </w:rPr>
        <w:t xml:space="preserve">covered </w:t>
      </w:r>
      <w:r>
        <w:rPr>
          <w:rFonts w:eastAsia="Times New Roman"/>
        </w:rPr>
        <w:t xml:space="preserve">by Ministry of Water </w:t>
      </w:r>
      <w:r w:rsidR="00C13F30">
        <w:rPr>
          <w:rFonts w:eastAsia="Times New Roman"/>
        </w:rPr>
        <w:t>and or other development partners</w:t>
      </w:r>
      <w:r w:rsidR="0018507A">
        <w:rPr>
          <w:rFonts w:eastAsia="Times New Roman"/>
        </w:rPr>
        <w:t xml:space="preserve"> to cover all convenings and stakeholder engagement processes</w:t>
      </w:r>
      <w:r w:rsidR="00C13F30">
        <w:rPr>
          <w:rFonts w:eastAsia="Times New Roman"/>
        </w:rPr>
        <w:t xml:space="preserve">. </w:t>
      </w:r>
      <w:r w:rsidR="00723CA1">
        <w:rPr>
          <w:rFonts w:eastAsia="Times New Roman"/>
        </w:rPr>
        <w:t>The budget allocation is as follows:</w:t>
      </w:r>
    </w:p>
    <w:p w14:paraId="5E6A33B4" w14:textId="77777777" w:rsidR="0018507A" w:rsidRDefault="0018507A" w:rsidP="0099103C">
      <w:pPr>
        <w:spacing w:after="0"/>
        <w:jc w:val="both"/>
        <w:rPr>
          <w:rFonts w:eastAsia="Times New Roman"/>
        </w:rPr>
      </w:pPr>
    </w:p>
    <w:p w14:paraId="7A3704E4" w14:textId="2BC39EF5" w:rsidR="00723CA1" w:rsidRDefault="00723CA1" w:rsidP="0099103C">
      <w:pPr>
        <w:spacing w:after="0"/>
        <w:jc w:val="both"/>
        <w:rPr>
          <w:rFonts w:eastAsia="Times New Roman"/>
        </w:rPr>
      </w:pPr>
    </w:p>
    <w:tbl>
      <w:tblPr>
        <w:tblStyle w:val="TableGrid"/>
        <w:tblW w:w="0" w:type="auto"/>
        <w:tblLook w:val="04A0" w:firstRow="1" w:lastRow="0" w:firstColumn="1" w:lastColumn="0" w:noHBand="0" w:noVBand="1"/>
      </w:tblPr>
      <w:tblGrid>
        <w:gridCol w:w="895"/>
        <w:gridCol w:w="6210"/>
        <w:gridCol w:w="1911"/>
      </w:tblGrid>
      <w:tr w:rsidR="00723CA1" w14:paraId="11956924" w14:textId="77777777" w:rsidTr="00723CA1">
        <w:tc>
          <w:tcPr>
            <w:tcW w:w="895" w:type="dxa"/>
          </w:tcPr>
          <w:p w14:paraId="177AB992" w14:textId="4B054BDA" w:rsidR="00723CA1" w:rsidRPr="00631473" w:rsidRDefault="00723CA1" w:rsidP="0099103C">
            <w:pPr>
              <w:jc w:val="both"/>
              <w:rPr>
                <w:rFonts w:eastAsia="Times New Roman"/>
                <w:b/>
                <w:bCs/>
              </w:rPr>
            </w:pPr>
            <w:r w:rsidRPr="00631473">
              <w:rPr>
                <w:rFonts w:eastAsia="Times New Roman"/>
                <w:b/>
                <w:bCs/>
              </w:rPr>
              <w:lastRenderedPageBreak/>
              <w:t>#</w:t>
            </w:r>
          </w:p>
        </w:tc>
        <w:tc>
          <w:tcPr>
            <w:tcW w:w="6210" w:type="dxa"/>
          </w:tcPr>
          <w:p w14:paraId="5A2DE3D0" w14:textId="16BF98BE" w:rsidR="00723CA1" w:rsidRPr="00631473" w:rsidRDefault="00723CA1" w:rsidP="0099103C">
            <w:pPr>
              <w:jc w:val="both"/>
              <w:rPr>
                <w:rFonts w:eastAsia="Times New Roman"/>
                <w:b/>
                <w:bCs/>
              </w:rPr>
            </w:pPr>
            <w:r w:rsidRPr="00631473">
              <w:rPr>
                <w:rFonts w:eastAsia="Times New Roman"/>
                <w:b/>
                <w:bCs/>
              </w:rPr>
              <w:t>Activity</w:t>
            </w:r>
          </w:p>
        </w:tc>
        <w:tc>
          <w:tcPr>
            <w:tcW w:w="1911" w:type="dxa"/>
          </w:tcPr>
          <w:p w14:paraId="2D89913C" w14:textId="590FB934" w:rsidR="00723CA1" w:rsidRPr="00631473" w:rsidRDefault="00723CA1" w:rsidP="0099103C">
            <w:pPr>
              <w:jc w:val="both"/>
              <w:rPr>
                <w:rFonts w:eastAsia="Times New Roman"/>
                <w:b/>
                <w:bCs/>
              </w:rPr>
            </w:pPr>
            <w:r w:rsidRPr="00631473">
              <w:rPr>
                <w:rFonts w:eastAsia="Times New Roman"/>
                <w:b/>
                <w:bCs/>
              </w:rPr>
              <w:t>Amount (EUR)</w:t>
            </w:r>
          </w:p>
        </w:tc>
      </w:tr>
      <w:tr w:rsidR="00723CA1" w14:paraId="510E6C5A" w14:textId="77777777" w:rsidTr="00723CA1">
        <w:tc>
          <w:tcPr>
            <w:tcW w:w="895" w:type="dxa"/>
          </w:tcPr>
          <w:p w14:paraId="2BEF425A" w14:textId="30A35328" w:rsidR="00723CA1" w:rsidRDefault="00723CA1" w:rsidP="0099103C">
            <w:pPr>
              <w:jc w:val="both"/>
              <w:rPr>
                <w:rFonts w:eastAsia="Times New Roman"/>
              </w:rPr>
            </w:pPr>
            <w:r>
              <w:rPr>
                <w:rFonts w:eastAsia="Times New Roman"/>
              </w:rPr>
              <w:t>1</w:t>
            </w:r>
          </w:p>
        </w:tc>
        <w:tc>
          <w:tcPr>
            <w:tcW w:w="6210" w:type="dxa"/>
          </w:tcPr>
          <w:p w14:paraId="14D139FC" w14:textId="34861921" w:rsidR="00723CA1" w:rsidRDefault="00723CA1" w:rsidP="0099103C">
            <w:pPr>
              <w:jc w:val="both"/>
              <w:rPr>
                <w:rFonts w:eastAsia="Times New Roman"/>
              </w:rPr>
            </w:pPr>
            <w:r>
              <w:rPr>
                <w:rFonts w:eastAsia="Times New Roman"/>
              </w:rPr>
              <w:t>Consultancy services</w:t>
            </w:r>
            <w:r w:rsidR="0018507A">
              <w:rPr>
                <w:rFonts w:eastAsia="Times New Roman"/>
              </w:rPr>
              <w:t xml:space="preserve"> (time input)</w:t>
            </w:r>
          </w:p>
        </w:tc>
        <w:tc>
          <w:tcPr>
            <w:tcW w:w="1911" w:type="dxa"/>
          </w:tcPr>
          <w:p w14:paraId="39AA305F" w14:textId="5E9928BA" w:rsidR="00723CA1" w:rsidRDefault="00B86D61" w:rsidP="0099103C">
            <w:pPr>
              <w:jc w:val="both"/>
              <w:rPr>
                <w:rFonts w:eastAsia="Times New Roman"/>
              </w:rPr>
            </w:pPr>
            <w:r>
              <w:rPr>
                <w:rFonts w:eastAsia="Times New Roman"/>
              </w:rPr>
              <w:t>20</w:t>
            </w:r>
            <w:r w:rsidR="00723CA1">
              <w:rPr>
                <w:rFonts w:eastAsia="Times New Roman"/>
              </w:rPr>
              <w:t>,</w:t>
            </w:r>
            <w:r>
              <w:rPr>
                <w:rFonts w:eastAsia="Times New Roman"/>
              </w:rPr>
              <w:t>0</w:t>
            </w:r>
            <w:r w:rsidR="00723CA1">
              <w:rPr>
                <w:rFonts w:eastAsia="Times New Roman"/>
              </w:rPr>
              <w:t>00</w:t>
            </w:r>
          </w:p>
        </w:tc>
      </w:tr>
      <w:tr w:rsidR="00723CA1" w14:paraId="117A4723" w14:textId="77777777" w:rsidTr="00723CA1">
        <w:tc>
          <w:tcPr>
            <w:tcW w:w="895" w:type="dxa"/>
          </w:tcPr>
          <w:p w14:paraId="315F893F" w14:textId="66CEE43F" w:rsidR="00723CA1" w:rsidRDefault="00723CA1" w:rsidP="0099103C">
            <w:pPr>
              <w:jc w:val="both"/>
              <w:rPr>
                <w:rFonts w:eastAsia="Times New Roman"/>
              </w:rPr>
            </w:pPr>
            <w:r>
              <w:rPr>
                <w:rFonts w:eastAsia="Times New Roman"/>
              </w:rPr>
              <w:t>2</w:t>
            </w:r>
          </w:p>
        </w:tc>
        <w:tc>
          <w:tcPr>
            <w:tcW w:w="6210" w:type="dxa"/>
          </w:tcPr>
          <w:p w14:paraId="3920F37B" w14:textId="7002F666" w:rsidR="00723CA1" w:rsidRDefault="00723CA1" w:rsidP="0099103C">
            <w:pPr>
              <w:jc w:val="both"/>
              <w:rPr>
                <w:rFonts w:eastAsia="Times New Roman"/>
              </w:rPr>
            </w:pPr>
            <w:r>
              <w:rPr>
                <w:rFonts w:eastAsia="Times New Roman"/>
              </w:rPr>
              <w:t>National Stakeholder Consultation Seminar</w:t>
            </w:r>
            <w:r w:rsidR="008A06E6">
              <w:rPr>
                <w:rFonts w:eastAsia="Times New Roman"/>
              </w:rPr>
              <w:t>/conference</w:t>
            </w:r>
            <w:r>
              <w:rPr>
                <w:rFonts w:eastAsia="Times New Roman"/>
              </w:rPr>
              <w:t xml:space="preserve"> to share methodology</w:t>
            </w:r>
            <w:r w:rsidR="00EC7D5A">
              <w:rPr>
                <w:rFonts w:eastAsia="Times New Roman"/>
              </w:rPr>
              <w:t>, process of the study</w:t>
            </w:r>
            <w:r>
              <w:rPr>
                <w:rFonts w:eastAsia="Times New Roman"/>
              </w:rPr>
              <w:t xml:space="preserve"> and get contribution from all </w:t>
            </w:r>
            <w:r w:rsidR="00EC7D5A">
              <w:rPr>
                <w:rFonts w:eastAsia="Times New Roman"/>
              </w:rPr>
              <w:t>s</w:t>
            </w:r>
            <w:r>
              <w:rPr>
                <w:rFonts w:eastAsia="Times New Roman"/>
              </w:rPr>
              <w:t>ectors</w:t>
            </w:r>
            <w:r w:rsidR="00EC7D5A">
              <w:rPr>
                <w:rFonts w:eastAsia="Times New Roman"/>
              </w:rPr>
              <w:t xml:space="preserve">. </w:t>
            </w:r>
            <w:r>
              <w:rPr>
                <w:rFonts w:eastAsia="Times New Roman"/>
              </w:rPr>
              <w:t xml:space="preserve"> </w:t>
            </w:r>
          </w:p>
        </w:tc>
        <w:tc>
          <w:tcPr>
            <w:tcW w:w="1911" w:type="dxa"/>
          </w:tcPr>
          <w:p w14:paraId="40297500" w14:textId="59B46F47" w:rsidR="00723CA1" w:rsidRDefault="00723CA1" w:rsidP="0099103C">
            <w:pPr>
              <w:jc w:val="both"/>
              <w:rPr>
                <w:rFonts w:eastAsia="Times New Roman"/>
              </w:rPr>
            </w:pPr>
            <w:r>
              <w:rPr>
                <w:rFonts w:eastAsia="Times New Roman"/>
              </w:rPr>
              <w:t>15,000</w:t>
            </w:r>
          </w:p>
        </w:tc>
      </w:tr>
      <w:tr w:rsidR="00723CA1" w14:paraId="3EE7B72E" w14:textId="77777777" w:rsidTr="00723CA1">
        <w:tc>
          <w:tcPr>
            <w:tcW w:w="895" w:type="dxa"/>
          </w:tcPr>
          <w:p w14:paraId="1B07BDCB" w14:textId="5538153D" w:rsidR="00723CA1" w:rsidRDefault="00723CA1" w:rsidP="0099103C">
            <w:pPr>
              <w:jc w:val="both"/>
              <w:rPr>
                <w:rFonts w:eastAsia="Times New Roman"/>
              </w:rPr>
            </w:pPr>
            <w:r>
              <w:rPr>
                <w:rFonts w:eastAsia="Times New Roman"/>
              </w:rPr>
              <w:t>3</w:t>
            </w:r>
          </w:p>
        </w:tc>
        <w:tc>
          <w:tcPr>
            <w:tcW w:w="6210" w:type="dxa"/>
          </w:tcPr>
          <w:p w14:paraId="1308D171" w14:textId="6C94A8E2" w:rsidR="00723CA1" w:rsidRDefault="00723CA1" w:rsidP="00723CA1">
            <w:pPr>
              <w:jc w:val="both"/>
              <w:rPr>
                <w:rFonts w:eastAsia="Times New Roman"/>
              </w:rPr>
            </w:pPr>
            <w:r w:rsidRPr="00723CA1">
              <w:rPr>
                <w:rFonts w:eastAsia="Times New Roman"/>
              </w:rPr>
              <w:t>Present</w:t>
            </w:r>
            <w:r>
              <w:rPr>
                <w:rFonts w:eastAsia="Times New Roman"/>
              </w:rPr>
              <w:t xml:space="preserve">ing </w:t>
            </w:r>
            <w:r w:rsidRPr="00723CA1">
              <w:rPr>
                <w:rFonts w:eastAsia="Times New Roman"/>
              </w:rPr>
              <w:t>outcomes of the study and proposed recommendations to an inter-ministerial team (from water related ministries) for further input</w:t>
            </w:r>
            <w:r>
              <w:rPr>
                <w:rFonts w:eastAsia="Times New Roman"/>
              </w:rPr>
              <w:t xml:space="preserve"> and validation</w:t>
            </w:r>
            <w:r w:rsidRPr="00723CA1">
              <w:rPr>
                <w:rFonts w:eastAsia="Times New Roman"/>
              </w:rPr>
              <w:t xml:space="preserve">. </w:t>
            </w:r>
          </w:p>
        </w:tc>
        <w:tc>
          <w:tcPr>
            <w:tcW w:w="1911" w:type="dxa"/>
          </w:tcPr>
          <w:p w14:paraId="54579479" w14:textId="48FFE8AA" w:rsidR="00723CA1" w:rsidRDefault="00723CA1" w:rsidP="0099103C">
            <w:pPr>
              <w:jc w:val="both"/>
              <w:rPr>
                <w:rFonts w:eastAsia="Times New Roman"/>
              </w:rPr>
            </w:pPr>
            <w:r>
              <w:rPr>
                <w:rFonts w:eastAsia="Times New Roman"/>
              </w:rPr>
              <w:t>10,000</w:t>
            </w:r>
          </w:p>
        </w:tc>
      </w:tr>
      <w:tr w:rsidR="00723CA1" w14:paraId="3EF238D0" w14:textId="77777777" w:rsidTr="00723CA1">
        <w:tc>
          <w:tcPr>
            <w:tcW w:w="895" w:type="dxa"/>
          </w:tcPr>
          <w:p w14:paraId="5A6B35A7" w14:textId="78C4C564" w:rsidR="00723CA1" w:rsidRDefault="00723CA1" w:rsidP="0099103C">
            <w:pPr>
              <w:jc w:val="both"/>
              <w:rPr>
                <w:rFonts w:eastAsia="Times New Roman"/>
              </w:rPr>
            </w:pPr>
            <w:r>
              <w:rPr>
                <w:rFonts w:eastAsia="Times New Roman"/>
              </w:rPr>
              <w:t>4</w:t>
            </w:r>
          </w:p>
        </w:tc>
        <w:tc>
          <w:tcPr>
            <w:tcW w:w="6210" w:type="dxa"/>
          </w:tcPr>
          <w:p w14:paraId="5DF62E9E" w14:textId="08074B58" w:rsidR="00723CA1" w:rsidRDefault="00723CA1" w:rsidP="0099103C">
            <w:pPr>
              <w:jc w:val="both"/>
              <w:rPr>
                <w:rFonts w:eastAsia="Times New Roman"/>
              </w:rPr>
            </w:pPr>
            <w:r>
              <w:rPr>
                <w:rFonts w:eastAsia="Times New Roman"/>
              </w:rPr>
              <w:t xml:space="preserve">Presenting the </w:t>
            </w:r>
            <w:r w:rsidR="00EC7D5A">
              <w:rPr>
                <w:rFonts w:eastAsia="Times New Roman"/>
              </w:rPr>
              <w:t xml:space="preserve">final </w:t>
            </w:r>
            <w:r>
              <w:rPr>
                <w:rFonts w:eastAsia="Times New Roman"/>
              </w:rPr>
              <w:t xml:space="preserve">outcome </w:t>
            </w:r>
            <w:r w:rsidR="00EC7D5A">
              <w:rPr>
                <w:rFonts w:eastAsia="Times New Roman"/>
              </w:rPr>
              <w:t>of the study to Management of MoW</w:t>
            </w:r>
            <w:r>
              <w:rPr>
                <w:rFonts w:eastAsia="Times New Roman"/>
              </w:rPr>
              <w:t xml:space="preserve"> </w:t>
            </w:r>
          </w:p>
        </w:tc>
        <w:tc>
          <w:tcPr>
            <w:tcW w:w="1911" w:type="dxa"/>
          </w:tcPr>
          <w:p w14:paraId="48675344" w14:textId="7D89C9A4" w:rsidR="00723CA1" w:rsidRDefault="00EC7D5A" w:rsidP="0099103C">
            <w:pPr>
              <w:jc w:val="both"/>
              <w:rPr>
                <w:rFonts w:eastAsia="Times New Roman"/>
              </w:rPr>
            </w:pPr>
            <w:r>
              <w:rPr>
                <w:rFonts w:eastAsia="Times New Roman"/>
              </w:rPr>
              <w:t>2000</w:t>
            </w:r>
          </w:p>
        </w:tc>
      </w:tr>
      <w:tr w:rsidR="00723CA1" w14:paraId="77D508B6" w14:textId="77777777" w:rsidTr="00723CA1">
        <w:tc>
          <w:tcPr>
            <w:tcW w:w="895" w:type="dxa"/>
          </w:tcPr>
          <w:p w14:paraId="6D7A469F" w14:textId="2A0982FA" w:rsidR="00723CA1" w:rsidRDefault="00EC7D5A" w:rsidP="0099103C">
            <w:pPr>
              <w:jc w:val="both"/>
              <w:rPr>
                <w:rFonts w:eastAsia="Times New Roman"/>
              </w:rPr>
            </w:pPr>
            <w:r>
              <w:rPr>
                <w:rFonts w:eastAsia="Times New Roman"/>
              </w:rPr>
              <w:t>5</w:t>
            </w:r>
          </w:p>
        </w:tc>
        <w:tc>
          <w:tcPr>
            <w:tcW w:w="6210" w:type="dxa"/>
          </w:tcPr>
          <w:p w14:paraId="06F43169" w14:textId="39B43FAD" w:rsidR="00723CA1" w:rsidRDefault="00EC7D5A" w:rsidP="0099103C">
            <w:pPr>
              <w:jc w:val="both"/>
              <w:rPr>
                <w:rFonts w:eastAsia="Times New Roman"/>
              </w:rPr>
            </w:pPr>
            <w:r>
              <w:rPr>
                <w:rFonts w:eastAsia="Times New Roman"/>
              </w:rPr>
              <w:t xml:space="preserve">Launch of the study results during National Multi-Sectoral Forum </w:t>
            </w:r>
          </w:p>
        </w:tc>
        <w:tc>
          <w:tcPr>
            <w:tcW w:w="1911" w:type="dxa"/>
          </w:tcPr>
          <w:p w14:paraId="61182F22" w14:textId="5F6199F0" w:rsidR="00723CA1" w:rsidRDefault="00EC7D5A" w:rsidP="0099103C">
            <w:pPr>
              <w:jc w:val="both"/>
              <w:rPr>
                <w:rFonts w:eastAsia="Times New Roman"/>
              </w:rPr>
            </w:pPr>
            <w:r>
              <w:rPr>
                <w:rFonts w:eastAsia="Times New Roman"/>
              </w:rPr>
              <w:t>4,500</w:t>
            </w:r>
          </w:p>
        </w:tc>
      </w:tr>
      <w:tr w:rsidR="009E55E8" w14:paraId="7C8ED4F4" w14:textId="77777777" w:rsidTr="00723CA1">
        <w:tc>
          <w:tcPr>
            <w:tcW w:w="895" w:type="dxa"/>
          </w:tcPr>
          <w:p w14:paraId="4523C74C" w14:textId="77777777" w:rsidR="009E55E8" w:rsidRDefault="009E55E8" w:rsidP="0099103C">
            <w:pPr>
              <w:jc w:val="both"/>
              <w:rPr>
                <w:rFonts w:eastAsia="Times New Roman"/>
              </w:rPr>
            </w:pPr>
          </w:p>
        </w:tc>
        <w:tc>
          <w:tcPr>
            <w:tcW w:w="6210" w:type="dxa"/>
          </w:tcPr>
          <w:p w14:paraId="08A196FD" w14:textId="5B422577" w:rsidR="009E55E8" w:rsidRPr="009E55E8" w:rsidRDefault="009E55E8" w:rsidP="009E55E8">
            <w:pPr>
              <w:jc w:val="right"/>
              <w:rPr>
                <w:rFonts w:eastAsia="Times New Roman"/>
                <w:b/>
                <w:bCs/>
              </w:rPr>
            </w:pPr>
            <w:r w:rsidRPr="009E55E8">
              <w:rPr>
                <w:rFonts w:eastAsia="Times New Roman"/>
                <w:b/>
                <w:bCs/>
              </w:rPr>
              <w:t>TOTAL</w:t>
            </w:r>
          </w:p>
        </w:tc>
        <w:tc>
          <w:tcPr>
            <w:tcW w:w="1911" w:type="dxa"/>
          </w:tcPr>
          <w:p w14:paraId="3A2A1C5C" w14:textId="4448719A" w:rsidR="009E55E8" w:rsidRDefault="009E55E8" w:rsidP="0099103C">
            <w:pPr>
              <w:jc w:val="both"/>
              <w:rPr>
                <w:rFonts w:eastAsia="Times New Roman"/>
              </w:rPr>
            </w:pPr>
            <w:r>
              <w:rPr>
                <w:rFonts w:eastAsia="Times New Roman"/>
              </w:rPr>
              <w:t>5</w:t>
            </w:r>
            <w:r w:rsidR="00B86D61">
              <w:rPr>
                <w:rFonts w:eastAsia="Times New Roman"/>
              </w:rPr>
              <w:t>1</w:t>
            </w:r>
            <w:r>
              <w:rPr>
                <w:rFonts w:eastAsia="Times New Roman"/>
              </w:rPr>
              <w:t>,</w:t>
            </w:r>
            <w:r w:rsidR="00B86D61">
              <w:rPr>
                <w:rFonts w:eastAsia="Times New Roman"/>
              </w:rPr>
              <w:t>5</w:t>
            </w:r>
            <w:r>
              <w:rPr>
                <w:rFonts w:eastAsia="Times New Roman"/>
              </w:rPr>
              <w:t>00</w:t>
            </w:r>
          </w:p>
        </w:tc>
      </w:tr>
    </w:tbl>
    <w:p w14:paraId="0AB5E7DC" w14:textId="4F222975" w:rsidR="00723CA1" w:rsidRPr="00BE3735" w:rsidRDefault="00723CA1" w:rsidP="0099103C">
      <w:pPr>
        <w:spacing w:after="0"/>
        <w:jc w:val="both"/>
        <w:rPr>
          <w:rFonts w:eastAsia="Times New Roman"/>
        </w:rPr>
      </w:pPr>
    </w:p>
    <w:sectPr w:rsidR="00723CA1" w:rsidRPr="00BE3735" w:rsidSect="0010570E">
      <w:headerReference w:type="default" r:id="rId15"/>
      <w:footerReference w:type="default" r:id="rId16"/>
      <w:pgSz w:w="11906" w:h="16838"/>
      <w:pgMar w:top="1728"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7AA1" w14:textId="77777777" w:rsidR="00BB3272" w:rsidRDefault="00BB3272" w:rsidP="002C6C40">
      <w:pPr>
        <w:spacing w:after="0" w:line="240" w:lineRule="auto"/>
      </w:pPr>
      <w:r>
        <w:separator/>
      </w:r>
    </w:p>
  </w:endnote>
  <w:endnote w:type="continuationSeparator" w:id="0">
    <w:p w14:paraId="4DAA2C8A" w14:textId="77777777" w:rsidR="00BB3272" w:rsidRDefault="00BB3272" w:rsidP="002C6C40">
      <w:pPr>
        <w:spacing w:after="0" w:line="240" w:lineRule="auto"/>
      </w:pPr>
      <w:r>
        <w:continuationSeparator/>
      </w:r>
    </w:p>
  </w:endnote>
  <w:endnote w:type="continuationNotice" w:id="1">
    <w:p w14:paraId="621B1246" w14:textId="77777777" w:rsidR="00BB3272" w:rsidRDefault="00BB3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ntel">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71592"/>
      <w:docPartObj>
        <w:docPartGallery w:val="Page Numbers (Bottom of Page)"/>
        <w:docPartUnique/>
      </w:docPartObj>
    </w:sdtPr>
    <w:sdtEndPr>
      <w:rPr>
        <w:noProof/>
      </w:rPr>
    </w:sdtEndPr>
    <w:sdtContent>
      <w:p w14:paraId="46CC8C07" w14:textId="0E0B3239" w:rsidR="003F7772" w:rsidRDefault="003F777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B0F4170" w14:textId="77777777" w:rsidR="003F7772" w:rsidRDefault="003F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15B8" w14:textId="77777777" w:rsidR="00BB3272" w:rsidRDefault="00BB3272" w:rsidP="002C6C40">
      <w:pPr>
        <w:spacing w:after="0" w:line="240" w:lineRule="auto"/>
      </w:pPr>
      <w:r>
        <w:separator/>
      </w:r>
    </w:p>
  </w:footnote>
  <w:footnote w:type="continuationSeparator" w:id="0">
    <w:p w14:paraId="434163EA" w14:textId="77777777" w:rsidR="00BB3272" w:rsidRDefault="00BB3272" w:rsidP="002C6C40">
      <w:pPr>
        <w:spacing w:after="0" w:line="240" w:lineRule="auto"/>
      </w:pPr>
      <w:r>
        <w:continuationSeparator/>
      </w:r>
    </w:p>
  </w:footnote>
  <w:footnote w:type="continuationNotice" w:id="1">
    <w:p w14:paraId="0A828AB7" w14:textId="77777777" w:rsidR="00BB3272" w:rsidRDefault="00BB3272">
      <w:pPr>
        <w:spacing w:after="0" w:line="240" w:lineRule="auto"/>
      </w:pPr>
    </w:p>
  </w:footnote>
  <w:footnote w:id="2">
    <w:p w14:paraId="430EDD6E" w14:textId="6E6151F3" w:rsidR="009C246B" w:rsidRPr="003777B8" w:rsidRDefault="009C246B" w:rsidP="00131743">
      <w:pPr>
        <w:pStyle w:val="FootnoteText"/>
        <w:jc w:val="both"/>
        <w:rPr>
          <w:sz w:val="16"/>
          <w:szCs w:val="16"/>
          <w:lang w:val="de-DE"/>
        </w:rPr>
      </w:pPr>
      <w:r w:rsidRPr="009C246B">
        <w:rPr>
          <w:rStyle w:val="FootnoteReference"/>
          <w:sz w:val="16"/>
          <w:szCs w:val="16"/>
        </w:rPr>
        <w:footnoteRef/>
      </w:r>
      <w:r w:rsidRPr="009C246B">
        <w:rPr>
          <w:sz w:val="16"/>
          <w:szCs w:val="16"/>
        </w:rPr>
        <w:t xml:space="preserve"> </w:t>
      </w:r>
      <w:r w:rsidRPr="009C246B">
        <w:rPr>
          <w:sz w:val="16"/>
          <w:szCs w:val="16"/>
          <w:lang w:val="en-US"/>
        </w:rPr>
        <w:t>U</w:t>
      </w:r>
      <w:r w:rsidR="00111E45">
        <w:rPr>
          <w:sz w:val="16"/>
          <w:szCs w:val="16"/>
          <w:lang w:val="en-US"/>
        </w:rPr>
        <w:t>N</w:t>
      </w:r>
      <w:r w:rsidRPr="009C246B">
        <w:rPr>
          <w:sz w:val="16"/>
          <w:szCs w:val="16"/>
          <w:lang w:val="en-US"/>
        </w:rPr>
        <w:t xml:space="preserve"> Water </w:t>
      </w:r>
      <w:r w:rsidR="00111E45">
        <w:rPr>
          <w:sz w:val="16"/>
          <w:szCs w:val="16"/>
          <w:lang w:val="en-US"/>
        </w:rPr>
        <w:t>(</w:t>
      </w:r>
      <w:r w:rsidRPr="009C246B">
        <w:rPr>
          <w:sz w:val="16"/>
          <w:szCs w:val="16"/>
          <w:lang w:val="en-US"/>
        </w:rPr>
        <w:t>2015</w:t>
      </w:r>
      <w:r w:rsidR="00111E45">
        <w:rPr>
          <w:sz w:val="16"/>
          <w:szCs w:val="16"/>
          <w:lang w:val="en-US"/>
        </w:rPr>
        <w:t>)</w:t>
      </w:r>
      <w:r w:rsidR="003777B8">
        <w:rPr>
          <w:sz w:val="16"/>
          <w:szCs w:val="16"/>
          <w:lang w:val="en-US"/>
        </w:rPr>
        <w:t>.</w:t>
      </w:r>
      <w:r w:rsidRPr="009C246B">
        <w:rPr>
          <w:sz w:val="16"/>
          <w:szCs w:val="16"/>
          <w:lang w:val="en-US"/>
        </w:rPr>
        <w:t xml:space="preserve"> </w:t>
      </w:r>
      <w:r w:rsidRPr="009C246B">
        <w:rPr>
          <w:sz w:val="16"/>
          <w:szCs w:val="16"/>
        </w:rPr>
        <w:t xml:space="preserve">Water and Sustainable Development From </w:t>
      </w:r>
      <w:r w:rsidR="003777B8">
        <w:rPr>
          <w:sz w:val="16"/>
          <w:szCs w:val="16"/>
        </w:rPr>
        <w:t>V</w:t>
      </w:r>
      <w:r w:rsidRPr="009C246B">
        <w:rPr>
          <w:sz w:val="16"/>
          <w:szCs w:val="16"/>
        </w:rPr>
        <w:t xml:space="preserve">ision to </w:t>
      </w:r>
      <w:r w:rsidR="003777B8">
        <w:rPr>
          <w:sz w:val="16"/>
          <w:szCs w:val="16"/>
        </w:rPr>
        <w:t>A</w:t>
      </w:r>
      <w:r w:rsidRPr="009C246B">
        <w:rPr>
          <w:sz w:val="16"/>
          <w:szCs w:val="16"/>
        </w:rPr>
        <w:t>ction.</w:t>
      </w:r>
      <w:r w:rsidR="003777B8">
        <w:rPr>
          <w:sz w:val="16"/>
          <w:szCs w:val="16"/>
        </w:rPr>
        <w:t xml:space="preserve"> </w:t>
      </w:r>
    </w:p>
  </w:footnote>
  <w:footnote w:id="3">
    <w:p w14:paraId="42DDDE6F" w14:textId="5DE44EDF" w:rsidR="00961FB3" w:rsidRPr="009C246B" w:rsidRDefault="00961FB3" w:rsidP="00131743">
      <w:pPr>
        <w:pStyle w:val="FootnoteText"/>
        <w:jc w:val="both"/>
        <w:rPr>
          <w:rFonts w:cstheme="minorHAnsi"/>
          <w:sz w:val="16"/>
          <w:szCs w:val="16"/>
        </w:rPr>
      </w:pPr>
      <w:r w:rsidRPr="009C246B">
        <w:rPr>
          <w:rStyle w:val="FootnoteReference"/>
          <w:rFonts w:cstheme="minorHAnsi"/>
          <w:sz w:val="16"/>
          <w:szCs w:val="16"/>
        </w:rPr>
        <w:footnoteRef/>
      </w:r>
      <w:r w:rsidRPr="009C246B">
        <w:rPr>
          <w:rFonts w:cstheme="minorHAnsi"/>
          <w:sz w:val="16"/>
          <w:szCs w:val="16"/>
        </w:rPr>
        <w:t xml:space="preserve"> Water demand by sector indicates the following share of water resources: Domestic (1.69 BCM), Irrigation (10.5 BCM), Hydropower (13.1 BCM), Livestock &amp; Aquaculture (0.395 BCM), Industries &amp; Mining (0.445 BCM) and Ecosystem &amp; Wildlife (50.6 BCM) (Water Sector Status Report, 2020).</w:t>
      </w:r>
    </w:p>
  </w:footnote>
  <w:footnote w:id="4">
    <w:p w14:paraId="583084CD" w14:textId="76B051F3" w:rsidR="00771677" w:rsidRPr="009C246B" w:rsidRDefault="00771677" w:rsidP="00131743">
      <w:pPr>
        <w:pStyle w:val="FootnoteText"/>
        <w:jc w:val="both"/>
        <w:rPr>
          <w:rFonts w:cstheme="minorHAnsi"/>
          <w:sz w:val="16"/>
          <w:szCs w:val="16"/>
        </w:rPr>
      </w:pPr>
      <w:r w:rsidRPr="009C246B">
        <w:rPr>
          <w:rStyle w:val="FootnoteReference"/>
          <w:rFonts w:cstheme="minorHAnsi"/>
          <w:sz w:val="16"/>
          <w:szCs w:val="16"/>
        </w:rPr>
        <w:footnoteRef/>
      </w:r>
      <w:r w:rsidRPr="00331537">
        <w:rPr>
          <w:rFonts w:cstheme="minorHAnsi"/>
          <w:sz w:val="16"/>
          <w:szCs w:val="16"/>
          <w:lang w:val="es-MX"/>
        </w:rPr>
        <w:t xml:space="preserve"> </w:t>
      </w:r>
      <w:r w:rsidRPr="00331537">
        <w:rPr>
          <w:rFonts w:cstheme="minorHAnsi"/>
          <w:color w:val="222222"/>
          <w:sz w:val="16"/>
          <w:szCs w:val="16"/>
          <w:shd w:val="clear" w:color="auto" w:fill="FFFFFF"/>
          <w:lang w:val="es-MX"/>
        </w:rPr>
        <w:t xml:space="preserve">Nkinda, M. S., Rwiza, M. J., Ijumba, J. N., &amp; Njau, K. N. (2020). </w:t>
      </w:r>
      <w:r w:rsidRPr="009C246B">
        <w:rPr>
          <w:rFonts w:cstheme="minorHAnsi"/>
          <w:color w:val="222222"/>
          <w:sz w:val="16"/>
          <w:szCs w:val="16"/>
          <w:shd w:val="clear" w:color="auto" w:fill="FFFFFF"/>
        </w:rPr>
        <w:t>Quantitative assessment of metal contamination and associated pollution risk in sediments from the Mara River in Tanzania. </w:t>
      </w:r>
      <w:r w:rsidRPr="009C246B">
        <w:rPr>
          <w:rFonts w:cstheme="minorHAnsi"/>
          <w:i/>
          <w:iCs/>
          <w:color w:val="222222"/>
          <w:sz w:val="16"/>
          <w:szCs w:val="16"/>
          <w:shd w:val="clear" w:color="auto" w:fill="FFFFFF"/>
        </w:rPr>
        <w:t>Environmental Monitoring and Assessment</w:t>
      </w:r>
      <w:r w:rsidRPr="009C246B">
        <w:rPr>
          <w:rFonts w:cstheme="minorHAnsi"/>
          <w:color w:val="222222"/>
          <w:sz w:val="16"/>
          <w:szCs w:val="16"/>
          <w:shd w:val="clear" w:color="auto" w:fill="FFFFFF"/>
        </w:rPr>
        <w:t>, </w:t>
      </w:r>
      <w:r w:rsidRPr="009C246B">
        <w:rPr>
          <w:rFonts w:cstheme="minorHAnsi"/>
          <w:i/>
          <w:iCs/>
          <w:color w:val="222222"/>
          <w:sz w:val="16"/>
          <w:szCs w:val="16"/>
          <w:shd w:val="clear" w:color="auto" w:fill="FFFFFF"/>
        </w:rPr>
        <w:t>192</w:t>
      </w:r>
      <w:r w:rsidRPr="009C246B">
        <w:rPr>
          <w:rFonts w:cstheme="minorHAnsi"/>
          <w:color w:val="222222"/>
          <w:sz w:val="16"/>
          <w:szCs w:val="16"/>
          <w:shd w:val="clear" w:color="auto" w:fill="FFFFFF"/>
        </w:rPr>
        <w:t>(11), 1-16.</w:t>
      </w:r>
    </w:p>
  </w:footnote>
  <w:footnote w:id="5">
    <w:p w14:paraId="666C2E92" w14:textId="6A3590B4" w:rsidR="002F310F" w:rsidRPr="002F310F" w:rsidRDefault="002F310F" w:rsidP="00131743">
      <w:pPr>
        <w:pStyle w:val="FootnoteText"/>
        <w:jc w:val="both"/>
      </w:pPr>
      <w:r w:rsidRPr="009C246B">
        <w:rPr>
          <w:rStyle w:val="FootnoteReference"/>
          <w:rFonts w:cstheme="minorHAnsi"/>
          <w:sz w:val="16"/>
          <w:szCs w:val="16"/>
        </w:rPr>
        <w:footnoteRef/>
      </w:r>
      <w:r w:rsidRPr="009C246B">
        <w:rPr>
          <w:rFonts w:cstheme="minorHAnsi"/>
          <w:sz w:val="16"/>
          <w:szCs w:val="16"/>
        </w:rPr>
        <w:t xml:space="preserve"> There are about 115 different wetlands ecosystems occupying 10% of the total land area of Mainland Tanzania (approximately 88,300 km2) harbouring over 650 associated species,</w:t>
      </w:r>
      <w:r w:rsidRPr="009C246B">
        <w:rPr>
          <w:sz w:val="16"/>
          <w:szCs w:val="16"/>
        </w:rPr>
        <w:t xml:space="preserve"> such as molluscs, crustaceans, echinoderms and fish. In terms of their distribution, 60 % extend over village land while the remaining 40% is located over public land (3rd Tanzania state of environment, 2019).</w:t>
      </w:r>
    </w:p>
  </w:footnote>
  <w:footnote w:id="6">
    <w:p w14:paraId="6D5D5914" w14:textId="4FC168ED" w:rsidR="00EF1ED1" w:rsidRPr="00111E45" w:rsidRDefault="00EF1ED1">
      <w:pPr>
        <w:pStyle w:val="FootnoteText"/>
        <w:rPr>
          <w:rFonts w:cs="Lintel"/>
          <w:color w:val="000000"/>
          <w:sz w:val="16"/>
          <w:szCs w:val="16"/>
          <w:lang w:val="de-DE"/>
        </w:rPr>
      </w:pPr>
      <w:r w:rsidRPr="00111E45">
        <w:rPr>
          <w:rStyle w:val="FootnoteReference"/>
          <w:sz w:val="16"/>
          <w:szCs w:val="16"/>
        </w:rPr>
        <w:footnoteRef/>
      </w:r>
      <w:r w:rsidRPr="005668A3">
        <w:rPr>
          <w:sz w:val="16"/>
          <w:szCs w:val="16"/>
        </w:rPr>
        <w:t xml:space="preserve"> </w:t>
      </w:r>
      <w:r w:rsidRPr="005668A3">
        <w:rPr>
          <w:rStyle w:val="A3"/>
          <w:sz w:val="16"/>
          <w:szCs w:val="16"/>
        </w:rPr>
        <w:t xml:space="preserve">IUCN (2004). </w:t>
      </w:r>
      <w:r w:rsidRPr="00111E45">
        <w:rPr>
          <w:rStyle w:val="A3"/>
          <w:sz w:val="16"/>
          <w:szCs w:val="16"/>
        </w:rPr>
        <w:t xml:space="preserve">Emerton, L., Bos, E. Value: Counting Ecosystems Water Infrastructure. IUCN, Gland, Switzerland and Cambridge, UK. </w:t>
      </w:r>
    </w:p>
  </w:footnote>
  <w:footnote w:id="7">
    <w:p w14:paraId="7C0DFC46" w14:textId="28CBC8BE" w:rsidR="00EF1ED1" w:rsidRPr="00EF1ED1" w:rsidRDefault="00EF1ED1" w:rsidP="00610731">
      <w:pPr>
        <w:pStyle w:val="FootnoteText"/>
        <w:rPr>
          <w:lang w:val="en-US"/>
        </w:rPr>
      </w:pPr>
      <w:r w:rsidRPr="00111E45">
        <w:rPr>
          <w:rStyle w:val="FootnoteReference"/>
          <w:sz w:val="16"/>
          <w:szCs w:val="16"/>
        </w:rPr>
        <w:footnoteRef/>
      </w:r>
      <w:r w:rsidRPr="00111E45">
        <w:rPr>
          <w:sz w:val="16"/>
          <w:szCs w:val="16"/>
        </w:rPr>
        <w:t xml:space="preserve"> </w:t>
      </w:r>
      <w:r w:rsidRPr="00111E45">
        <w:rPr>
          <w:sz w:val="16"/>
          <w:szCs w:val="16"/>
          <w:lang w:val="en-US"/>
        </w:rPr>
        <w:t xml:space="preserve">WRG 2030 </w:t>
      </w:r>
      <w:r w:rsidR="00111E45">
        <w:rPr>
          <w:sz w:val="16"/>
          <w:szCs w:val="16"/>
          <w:lang w:val="en-US"/>
        </w:rPr>
        <w:t xml:space="preserve">(2020). </w:t>
      </w:r>
      <w:r w:rsidR="00610731" w:rsidRPr="00111E45">
        <w:rPr>
          <w:sz w:val="16"/>
          <w:szCs w:val="16"/>
          <w:lang w:val="en-US"/>
        </w:rPr>
        <w:t>Position Paper on Valuing Water in Bangladesh</w:t>
      </w:r>
      <w:r w:rsidR="00111E45" w:rsidRPr="00111E45">
        <w:rPr>
          <w:sz w:val="16"/>
          <w:szCs w:val="16"/>
          <w:lang w:val="en-US"/>
        </w:rPr>
        <w:t xml:space="preserve"> </w:t>
      </w:r>
      <w:hyperlink r:id="rId1" w:history="1">
        <w:r w:rsidR="00111E45" w:rsidRPr="00111E45">
          <w:rPr>
            <w:rStyle w:val="Hyperlink"/>
            <w:sz w:val="16"/>
            <w:szCs w:val="16"/>
          </w:rPr>
          <w:t>Position-Paper-on-Valuing-Water-in-Bangladesh.pdf (2030wrg.org)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21D9" w14:textId="1BFB2D73" w:rsidR="001F5F0B" w:rsidRDefault="0010570E" w:rsidP="001F5F0B">
    <w:pPr>
      <w:pStyle w:val="Header"/>
      <w:jc w:val="right"/>
    </w:pPr>
    <w:r>
      <w:rPr>
        <w:noProof/>
      </w:rPr>
      <w:drawing>
        <wp:anchor distT="57150" distB="57150" distL="57150" distR="57150" simplePos="0" relativeHeight="251662336" behindDoc="0" locked="0" layoutInCell="1" allowOverlap="1" wp14:anchorId="21495349" wp14:editId="342DB9F2">
          <wp:simplePos x="0" y="0"/>
          <wp:positionH relativeFrom="column">
            <wp:posOffset>-106045</wp:posOffset>
          </wp:positionH>
          <wp:positionV relativeFrom="line">
            <wp:posOffset>-220345</wp:posOffset>
          </wp:positionV>
          <wp:extent cx="829310" cy="681355"/>
          <wp:effectExtent l="0" t="0" r="8890" b="4445"/>
          <wp:wrapSquare wrapText="bothSides"/>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03D8D98" wp14:editId="0FBFEB4C">
          <wp:simplePos x="0" y="0"/>
          <wp:positionH relativeFrom="column">
            <wp:posOffset>4090035</wp:posOffset>
          </wp:positionH>
          <wp:positionV relativeFrom="paragraph">
            <wp:posOffset>-85090</wp:posOffset>
          </wp:positionV>
          <wp:extent cx="1948815" cy="4165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rotWithShape="1">
                  <a:blip r:embed="rId2">
                    <a:extLst>
                      <a:ext uri="{28A0092B-C50C-407E-A947-70E740481C1C}">
                        <a14:useLocalDpi xmlns:a14="http://schemas.microsoft.com/office/drawing/2010/main" val="0"/>
                      </a:ext>
                    </a:extLst>
                  </a:blip>
                  <a:srcRect r="21084"/>
                  <a:stretch/>
                </pic:blipFill>
                <pic:spPr bwMode="auto">
                  <a:xfrm>
                    <a:off x="0" y="0"/>
                    <a:ext cx="1948815" cy="416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B0D508D" wp14:editId="559BD555">
          <wp:simplePos x="0" y="0"/>
          <wp:positionH relativeFrom="margin">
            <wp:posOffset>1902672</wp:posOffset>
          </wp:positionH>
          <wp:positionV relativeFrom="paragraph">
            <wp:posOffset>-164480</wp:posOffset>
          </wp:positionV>
          <wp:extent cx="1611630" cy="6286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116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408E"/>
    <w:multiLevelType w:val="hybridMultilevel"/>
    <w:tmpl w:val="A1D2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82337"/>
    <w:multiLevelType w:val="multilevel"/>
    <w:tmpl w:val="771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076F2"/>
    <w:multiLevelType w:val="hybridMultilevel"/>
    <w:tmpl w:val="EADA6D68"/>
    <w:lvl w:ilvl="0" w:tplc="A5AE87D0">
      <w:start w:val="1"/>
      <w:numFmt w:val="bullet"/>
      <w:lvlText w:val=""/>
      <w:lvlJc w:val="left"/>
      <w:pPr>
        <w:ind w:left="720" w:hanging="360"/>
      </w:pPr>
      <w:rPr>
        <w:rFonts w:ascii="Symbol" w:hAnsi="Symbol" w:hint="default"/>
      </w:rPr>
    </w:lvl>
    <w:lvl w:ilvl="1" w:tplc="B6A2F708">
      <w:start w:val="1"/>
      <w:numFmt w:val="bullet"/>
      <w:lvlText w:val="o"/>
      <w:lvlJc w:val="left"/>
      <w:pPr>
        <w:ind w:left="1440" w:hanging="360"/>
      </w:pPr>
      <w:rPr>
        <w:rFonts w:ascii="Courier New" w:hAnsi="Courier New" w:hint="default"/>
      </w:rPr>
    </w:lvl>
    <w:lvl w:ilvl="2" w:tplc="75EC667C">
      <w:start w:val="1"/>
      <w:numFmt w:val="bullet"/>
      <w:lvlText w:val=""/>
      <w:lvlJc w:val="left"/>
      <w:pPr>
        <w:ind w:left="2160" w:hanging="360"/>
      </w:pPr>
      <w:rPr>
        <w:rFonts w:ascii="Wingdings" w:hAnsi="Wingdings" w:hint="default"/>
      </w:rPr>
    </w:lvl>
    <w:lvl w:ilvl="3" w:tplc="100AAC2A">
      <w:start w:val="1"/>
      <w:numFmt w:val="bullet"/>
      <w:lvlText w:val=""/>
      <w:lvlJc w:val="left"/>
      <w:pPr>
        <w:ind w:left="2880" w:hanging="360"/>
      </w:pPr>
      <w:rPr>
        <w:rFonts w:ascii="Symbol" w:hAnsi="Symbol" w:hint="default"/>
      </w:rPr>
    </w:lvl>
    <w:lvl w:ilvl="4" w:tplc="4C64148C">
      <w:start w:val="1"/>
      <w:numFmt w:val="bullet"/>
      <w:lvlText w:val="o"/>
      <w:lvlJc w:val="left"/>
      <w:pPr>
        <w:ind w:left="3600" w:hanging="360"/>
      </w:pPr>
      <w:rPr>
        <w:rFonts w:ascii="Courier New" w:hAnsi="Courier New" w:hint="default"/>
      </w:rPr>
    </w:lvl>
    <w:lvl w:ilvl="5" w:tplc="ADDEC8B6">
      <w:start w:val="1"/>
      <w:numFmt w:val="bullet"/>
      <w:lvlText w:val=""/>
      <w:lvlJc w:val="left"/>
      <w:pPr>
        <w:ind w:left="4320" w:hanging="360"/>
      </w:pPr>
      <w:rPr>
        <w:rFonts w:ascii="Wingdings" w:hAnsi="Wingdings" w:hint="default"/>
      </w:rPr>
    </w:lvl>
    <w:lvl w:ilvl="6" w:tplc="93FA5E8E">
      <w:start w:val="1"/>
      <w:numFmt w:val="bullet"/>
      <w:lvlText w:val=""/>
      <w:lvlJc w:val="left"/>
      <w:pPr>
        <w:ind w:left="5040" w:hanging="360"/>
      </w:pPr>
      <w:rPr>
        <w:rFonts w:ascii="Symbol" w:hAnsi="Symbol" w:hint="default"/>
      </w:rPr>
    </w:lvl>
    <w:lvl w:ilvl="7" w:tplc="EC40D9B0">
      <w:start w:val="1"/>
      <w:numFmt w:val="bullet"/>
      <w:lvlText w:val="o"/>
      <w:lvlJc w:val="left"/>
      <w:pPr>
        <w:ind w:left="5760" w:hanging="360"/>
      </w:pPr>
      <w:rPr>
        <w:rFonts w:ascii="Courier New" w:hAnsi="Courier New" w:hint="default"/>
      </w:rPr>
    </w:lvl>
    <w:lvl w:ilvl="8" w:tplc="AF04A972">
      <w:start w:val="1"/>
      <w:numFmt w:val="bullet"/>
      <w:lvlText w:val=""/>
      <w:lvlJc w:val="left"/>
      <w:pPr>
        <w:ind w:left="6480" w:hanging="360"/>
      </w:pPr>
      <w:rPr>
        <w:rFonts w:ascii="Wingdings" w:hAnsi="Wingdings" w:hint="default"/>
      </w:rPr>
    </w:lvl>
  </w:abstractNum>
  <w:abstractNum w:abstractNumId="3" w15:restartNumberingAfterBreak="0">
    <w:nsid w:val="47D618BB"/>
    <w:multiLevelType w:val="hybridMultilevel"/>
    <w:tmpl w:val="C388D800"/>
    <w:lvl w:ilvl="0" w:tplc="271A5BBA">
      <w:start w:val="1"/>
      <w:numFmt w:val="decimal"/>
      <w:lvlText w:val="%1."/>
      <w:lvlJc w:val="left"/>
      <w:pPr>
        <w:ind w:left="720" w:hanging="360"/>
      </w:pPr>
    </w:lvl>
    <w:lvl w:ilvl="1" w:tplc="74F41B58">
      <w:start w:val="1"/>
      <w:numFmt w:val="lowerLetter"/>
      <w:lvlText w:val="%2."/>
      <w:lvlJc w:val="left"/>
      <w:pPr>
        <w:ind w:left="1440" w:hanging="360"/>
      </w:pPr>
    </w:lvl>
    <w:lvl w:ilvl="2" w:tplc="73B8B91C">
      <w:start w:val="1"/>
      <w:numFmt w:val="lowerRoman"/>
      <w:lvlText w:val="%3."/>
      <w:lvlJc w:val="right"/>
      <w:pPr>
        <w:ind w:left="2160" w:hanging="180"/>
      </w:pPr>
    </w:lvl>
    <w:lvl w:ilvl="3" w:tplc="016AA2EE">
      <w:start w:val="1"/>
      <w:numFmt w:val="decimal"/>
      <w:lvlText w:val="%4."/>
      <w:lvlJc w:val="left"/>
      <w:pPr>
        <w:ind w:left="2880" w:hanging="360"/>
      </w:pPr>
    </w:lvl>
    <w:lvl w:ilvl="4" w:tplc="0066BBFC">
      <w:start w:val="1"/>
      <w:numFmt w:val="lowerLetter"/>
      <w:lvlText w:val="%5."/>
      <w:lvlJc w:val="left"/>
      <w:pPr>
        <w:ind w:left="3600" w:hanging="360"/>
      </w:pPr>
    </w:lvl>
    <w:lvl w:ilvl="5" w:tplc="5B1CDC06">
      <w:start w:val="1"/>
      <w:numFmt w:val="lowerRoman"/>
      <w:lvlText w:val="%6."/>
      <w:lvlJc w:val="right"/>
      <w:pPr>
        <w:ind w:left="4320" w:hanging="180"/>
      </w:pPr>
    </w:lvl>
    <w:lvl w:ilvl="6" w:tplc="95D6983E">
      <w:start w:val="1"/>
      <w:numFmt w:val="decimal"/>
      <w:lvlText w:val="%7."/>
      <w:lvlJc w:val="left"/>
      <w:pPr>
        <w:ind w:left="5040" w:hanging="360"/>
      </w:pPr>
    </w:lvl>
    <w:lvl w:ilvl="7" w:tplc="04661CF2">
      <w:start w:val="1"/>
      <w:numFmt w:val="lowerLetter"/>
      <w:lvlText w:val="%8."/>
      <w:lvlJc w:val="left"/>
      <w:pPr>
        <w:ind w:left="5760" w:hanging="360"/>
      </w:pPr>
    </w:lvl>
    <w:lvl w:ilvl="8" w:tplc="AF2818D0">
      <w:start w:val="1"/>
      <w:numFmt w:val="lowerRoman"/>
      <w:lvlText w:val="%9."/>
      <w:lvlJc w:val="right"/>
      <w:pPr>
        <w:ind w:left="6480" w:hanging="180"/>
      </w:pPr>
    </w:lvl>
  </w:abstractNum>
  <w:abstractNum w:abstractNumId="4" w15:restartNumberingAfterBreak="0">
    <w:nsid w:val="4BE005AD"/>
    <w:multiLevelType w:val="hybridMultilevel"/>
    <w:tmpl w:val="C0645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637F8D"/>
    <w:multiLevelType w:val="hybridMultilevel"/>
    <w:tmpl w:val="C9E035C4"/>
    <w:lvl w:ilvl="0" w:tplc="320C494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AC1656C"/>
    <w:multiLevelType w:val="multilevel"/>
    <w:tmpl w:val="63D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57F68"/>
    <w:multiLevelType w:val="hybridMultilevel"/>
    <w:tmpl w:val="23FA96C6"/>
    <w:lvl w:ilvl="0" w:tplc="2FE8590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765EE"/>
    <w:multiLevelType w:val="hybridMultilevel"/>
    <w:tmpl w:val="34BC9080"/>
    <w:lvl w:ilvl="0" w:tplc="2FE8590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721E72"/>
    <w:multiLevelType w:val="hybridMultilevel"/>
    <w:tmpl w:val="12AEE80E"/>
    <w:lvl w:ilvl="0" w:tplc="2FE8590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05084">
    <w:abstractNumId w:val="2"/>
  </w:num>
  <w:num w:numId="2" w16cid:durableId="1388264139">
    <w:abstractNumId w:val="3"/>
  </w:num>
  <w:num w:numId="3" w16cid:durableId="901717339">
    <w:abstractNumId w:val="5"/>
  </w:num>
  <w:num w:numId="4" w16cid:durableId="1243875915">
    <w:abstractNumId w:val="4"/>
  </w:num>
  <w:num w:numId="5" w16cid:durableId="896166052">
    <w:abstractNumId w:val="6"/>
  </w:num>
  <w:num w:numId="6" w16cid:durableId="941572675">
    <w:abstractNumId w:val="1"/>
  </w:num>
  <w:num w:numId="7" w16cid:durableId="412624474">
    <w:abstractNumId w:val="0"/>
  </w:num>
  <w:num w:numId="8" w16cid:durableId="735861304">
    <w:abstractNumId w:val="9"/>
  </w:num>
  <w:num w:numId="9" w16cid:durableId="1335496159">
    <w:abstractNumId w:val="7"/>
  </w:num>
  <w:num w:numId="10" w16cid:durableId="1946383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40"/>
    <w:rsid w:val="000071EF"/>
    <w:rsid w:val="00014F94"/>
    <w:rsid w:val="00016CD7"/>
    <w:rsid w:val="00030C9A"/>
    <w:rsid w:val="00033A95"/>
    <w:rsid w:val="000414B3"/>
    <w:rsid w:val="00044193"/>
    <w:rsid w:val="00047BD5"/>
    <w:rsid w:val="00057BBA"/>
    <w:rsid w:val="000629BF"/>
    <w:rsid w:val="00072A73"/>
    <w:rsid w:val="00073F8C"/>
    <w:rsid w:val="00074D31"/>
    <w:rsid w:val="00076AFD"/>
    <w:rsid w:val="00080021"/>
    <w:rsid w:val="00084EE1"/>
    <w:rsid w:val="000A142E"/>
    <w:rsid w:val="000A5B53"/>
    <w:rsid w:val="000B5F8A"/>
    <w:rsid w:val="000C071B"/>
    <w:rsid w:val="000C32A3"/>
    <w:rsid w:val="000C6510"/>
    <w:rsid w:val="000C6E26"/>
    <w:rsid w:val="000D0BB6"/>
    <w:rsid w:val="000D57D9"/>
    <w:rsid w:val="000D6FEC"/>
    <w:rsid w:val="000D7179"/>
    <w:rsid w:val="000F3A9E"/>
    <w:rsid w:val="000F4E67"/>
    <w:rsid w:val="000F4F1C"/>
    <w:rsid w:val="000F5D9E"/>
    <w:rsid w:val="0010380C"/>
    <w:rsid w:val="0010570E"/>
    <w:rsid w:val="0010796E"/>
    <w:rsid w:val="00111E45"/>
    <w:rsid w:val="001137CF"/>
    <w:rsid w:val="00117C70"/>
    <w:rsid w:val="00124B5D"/>
    <w:rsid w:val="00131743"/>
    <w:rsid w:val="001336A7"/>
    <w:rsid w:val="001341C8"/>
    <w:rsid w:val="001364D4"/>
    <w:rsid w:val="00146CA6"/>
    <w:rsid w:val="0015003A"/>
    <w:rsid w:val="001542DA"/>
    <w:rsid w:val="00154468"/>
    <w:rsid w:val="00162410"/>
    <w:rsid w:val="00171A8F"/>
    <w:rsid w:val="001732E7"/>
    <w:rsid w:val="00175270"/>
    <w:rsid w:val="00175375"/>
    <w:rsid w:val="00176042"/>
    <w:rsid w:val="001840B2"/>
    <w:rsid w:val="0018507A"/>
    <w:rsid w:val="0018641B"/>
    <w:rsid w:val="00192D02"/>
    <w:rsid w:val="001A0390"/>
    <w:rsid w:val="001A74B1"/>
    <w:rsid w:val="001B0713"/>
    <w:rsid w:val="001B105C"/>
    <w:rsid w:val="001B1A41"/>
    <w:rsid w:val="001B4849"/>
    <w:rsid w:val="001B4BD0"/>
    <w:rsid w:val="001B5CCB"/>
    <w:rsid w:val="001C1961"/>
    <w:rsid w:val="001C3337"/>
    <w:rsid w:val="001C35F2"/>
    <w:rsid w:val="001C59ED"/>
    <w:rsid w:val="001D51A2"/>
    <w:rsid w:val="001E58F2"/>
    <w:rsid w:val="001F17C5"/>
    <w:rsid w:val="001F326F"/>
    <w:rsid w:val="001F5F0B"/>
    <w:rsid w:val="00202708"/>
    <w:rsid w:val="002120AE"/>
    <w:rsid w:val="002131F8"/>
    <w:rsid w:val="00214C8D"/>
    <w:rsid w:val="002161BA"/>
    <w:rsid w:val="0022063D"/>
    <w:rsid w:val="00224B9C"/>
    <w:rsid w:val="00225D9F"/>
    <w:rsid w:val="00234915"/>
    <w:rsid w:val="002349CC"/>
    <w:rsid w:val="0024164D"/>
    <w:rsid w:val="00250F81"/>
    <w:rsid w:val="0025251E"/>
    <w:rsid w:val="00257F61"/>
    <w:rsid w:val="002622C2"/>
    <w:rsid w:val="00281E45"/>
    <w:rsid w:val="0028497F"/>
    <w:rsid w:val="002860F2"/>
    <w:rsid w:val="00286990"/>
    <w:rsid w:val="0029074A"/>
    <w:rsid w:val="00296628"/>
    <w:rsid w:val="00296E03"/>
    <w:rsid w:val="002A0518"/>
    <w:rsid w:val="002A0861"/>
    <w:rsid w:val="002A1179"/>
    <w:rsid w:val="002A3289"/>
    <w:rsid w:val="002A3B4A"/>
    <w:rsid w:val="002A411E"/>
    <w:rsid w:val="002A4DFB"/>
    <w:rsid w:val="002B12D4"/>
    <w:rsid w:val="002B23D8"/>
    <w:rsid w:val="002B3B58"/>
    <w:rsid w:val="002B596C"/>
    <w:rsid w:val="002B5AE5"/>
    <w:rsid w:val="002B69B5"/>
    <w:rsid w:val="002B7EDD"/>
    <w:rsid w:val="002C3BCC"/>
    <w:rsid w:val="002C621B"/>
    <w:rsid w:val="002C6C40"/>
    <w:rsid w:val="002C723F"/>
    <w:rsid w:val="002D5C2A"/>
    <w:rsid w:val="002E19E9"/>
    <w:rsid w:val="002E1CA9"/>
    <w:rsid w:val="002E2BE7"/>
    <w:rsid w:val="002E44DB"/>
    <w:rsid w:val="002F14CF"/>
    <w:rsid w:val="002F310F"/>
    <w:rsid w:val="002F53F9"/>
    <w:rsid w:val="002F5B4C"/>
    <w:rsid w:val="002F7F6F"/>
    <w:rsid w:val="00300095"/>
    <w:rsid w:val="0030009C"/>
    <w:rsid w:val="0030108F"/>
    <w:rsid w:val="00302A8F"/>
    <w:rsid w:val="00303F36"/>
    <w:rsid w:val="003057DB"/>
    <w:rsid w:val="00307906"/>
    <w:rsid w:val="00311F1A"/>
    <w:rsid w:val="0031304C"/>
    <w:rsid w:val="00313F79"/>
    <w:rsid w:val="003158D2"/>
    <w:rsid w:val="0031796E"/>
    <w:rsid w:val="00325D53"/>
    <w:rsid w:val="00326752"/>
    <w:rsid w:val="00331537"/>
    <w:rsid w:val="00335564"/>
    <w:rsid w:val="00335C9D"/>
    <w:rsid w:val="00337677"/>
    <w:rsid w:val="003417E9"/>
    <w:rsid w:val="00342305"/>
    <w:rsid w:val="0035300F"/>
    <w:rsid w:val="0035344F"/>
    <w:rsid w:val="0035438C"/>
    <w:rsid w:val="003543A6"/>
    <w:rsid w:val="00362321"/>
    <w:rsid w:val="00375050"/>
    <w:rsid w:val="00377121"/>
    <w:rsid w:val="003777B8"/>
    <w:rsid w:val="00383D08"/>
    <w:rsid w:val="003875BA"/>
    <w:rsid w:val="003878C8"/>
    <w:rsid w:val="003939EC"/>
    <w:rsid w:val="0039468D"/>
    <w:rsid w:val="00394E40"/>
    <w:rsid w:val="003A170D"/>
    <w:rsid w:val="003A25E1"/>
    <w:rsid w:val="003A5726"/>
    <w:rsid w:val="003A627D"/>
    <w:rsid w:val="003C1397"/>
    <w:rsid w:val="003C31CA"/>
    <w:rsid w:val="003D0374"/>
    <w:rsid w:val="003D3799"/>
    <w:rsid w:val="003D3E42"/>
    <w:rsid w:val="003D51B8"/>
    <w:rsid w:val="003D5495"/>
    <w:rsid w:val="003D6778"/>
    <w:rsid w:val="003D6927"/>
    <w:rsid w:val="003D6989"/>
    <w:rsid w:val="003E0096"/>
    <w:rsid w:val="003E3330"/>
    <w:rsid w:val="003F0222"/>
    <w:rsid w:val="003F7772"/>
    <w:rsid w:val="004016F2"/>
    <w:rsid w:val="00404FE8"/>
    <w:rsid w:val="00407304"/>
    <w:rsid w:val="0040CBE2"/>
    <w:rsid w:val="0041049A"/>
    <w:rsid w:val="00411891"/>
    <w:rsid w:val="004130B7"/>
    <w:rsid w:val="004161F6"/>
    <w:rsid w:val="00416761"/>
    <w:rsid w:val="004223EB"/>
    <w:rsid w:val="00425B3F"/>
    <w:rsid w:val="00430211"/>
    <w:rsid w:val="00431F79"/>
    <w:rsid w:val="00432368"/>
    <w:rsid w:val="00442A23"/>
    <w:rsid w:val="00443819"/>
    <w:rsid w:val="00444197"/>
    <w:rsid w:val="004476E9"/>
    <w:rsid w:val="0045534E"/>
    <w:rsid w:val="00464851"/>
    <w:rsid w:val="004673BB"/>
    <w:rsid w:val="0047208C"/>
    <w:rsid w:val="0047357A"/>
    <w:rsid w:val="00473F9B"/>
    <w:rsid w:val="00475568"/>
    <w:rsid w:val="004772C7"/>
    <w:rsid w:val="004801BA"/>
    <w:rsid w:val="00491D0C"/>
    <w:rsid w:val="004A0D97"/>
    <w:rsid w:val="004A732B"/>
    <w:rsid w:val="004B1091"/>
    <w:rsid w:val="004B1978"/>
    <w:rsid w:val="004B1B5D"/>
    <w:rsid w:val="004B7A18"/>
    <w:rsid w:val="004C4E03"/>
    <w:rsid w:val="004D0741"/>
    <w:rsid w:val="004D7854"/>
    <w:rsid w:val="004E05AD"/>
    <w:rsid w:val="004E735F"/>
    <w:rsid w:val="004F1970"/>
    <w:rsid w:val="00516DB8"/>
    <w:rsid w:val="005244E1"/>
    <w:rsid w:val="00524722"/>
    <w:rsid w:val="00531636"/>
    <w:rsid w:val="00533D84"/>
    <w:rsid w:val="0053417D"/>
    <w:rsid w:val="005377E7"/>
    <w:rsid w:val="00537AF4"/>
    <w:rsid w:val="005438A4"/>
    <w:rsid w:val="00546229"/>
    <w:rsid w:val="005466FA"/>
    <w:rsid w:val="00547767"/>
    <w:rsid w:val="005533BE"/>
    <w:rsid w:val="0055402F"/>
    <w:rsid w:val="00556D58"/>
    <w:rsid w:val="005578E6"/>
    <w:rsid w:val="00557FF0"/>
    <w:rsid w:val="00560768"/>
    <w:rsid w:val="00561F39"/>
    <w:rsid w:val="00566668"/>
    <w:rsid w:val="005668A3"/>
    <w:rsid w:val="005777C8"/>
    <w:rsid w:val="00582545"/>
    <w:rsid w:val="00583522"/>
    <w:rsid w:val="0058416F"/>
    <w:rsid w:val="00584FA3"/>
    <w:rsid w:val="005853E4"/>
    <w:rsid w:val="005858D3"/>
    <w:rsid w:val="00585DBE"/>
    <w:rsid w:val="0059121F"/>
    <w:rsid w:val="00595C8B"/>
    <w:rsid w:val="005B0D38"/>
    <w:rsid w:val="005B142F"/>
    <w:rsid w:val="005B3681"/>
    <w:rsid w:val="005B4782"/>
    <w:rsid w:val="005B562D"/>
    <w:rsid w:val="005B59AA"/>
    <w:rsid w:val="005B745C"/>
    <w:rsid w:val="005C22FD"/>
    <w:rsid w:val="005C5A23"/>
    <w:rsid w:val="005D0389"/>
    <w:rsid w:val="005D7CE1"/>
    <w:rsid w:val="005E40FD"/>
    <w:rsid w:val="005E483D"/>
    <w:rsid w:val="005E7062"/>
    <w:rsid w:val="005F05BB"/>
    <w:rsid w:val="005F52B3"/>
    <w:rsid w:val="00610731"/>
    <w:rsid w:val="00613ACF"/>
    <w:rsid w:val="00615E75"/>
    <w:rsid w:val="0061618B"/>
    <w:rsid w:val="00620FD8"/>
    <w:rsid w:val="006251D4"/>
    <w:rsid w:val="00626F1F"/>
    <w:rsid w:val="00630EA3"/>
    <w:rsid w:val="00631473"/>
    <w:rsid w:val="00642A15"/>
    <w:rsid w:val="0064447E"/>
    <w:rsid w:val="0065279D"/>
    <w:rsid w:val="006614BC"/>
    <w:rsid w:val="00665927"/>
    <w:rsid w:val="00666C53"/>
    <w:rsid w:val="00666CEE"/>
    <w:rsid w:val="00670B58"/>
    <w:rsid w:val="00671A6A"/>
    <w:rsid w:val="00675EB8"/>
    <w:rsid w:val="006760EB"/>
    <w:rsid w:val="006845F5"/>
    <w:rsid w:val="0068643F"/>
    <w:rsid w:val="00692083"/>
    <w:rsid w:val="006A0BBC"/>
    <w:rsid w:val="006A23C6"/>
    <w:rsid w:val="006A3319"/>
    <w:rsid w:val="006A38B6"/>
    <w:rsid w:val="006A6084"/>
    <w:rsid w:val="006B77B2"/>
    <w:rsid w:val="006C0628"/>
    <w:rsid w:val="006C2379"/>
    <w:rsid w:val="006D0BCF"/>
    <w:rsid w:val="006D4DB8"/>
    <w:rsid w:val="006D59D7"/>
    <w:rsid w:val="006E0688"/>
    <w:rsid w:val="006E0A21"/>
    <w:rsid w:val="006E1B79"/>
    <w:rsid w:val="006E7F81"/>
    <w:rsid w:val="006F32FC"/>
    <w:rsid w:val="006F646B"/>
    <w:rsid w:val="006F6F2A"/>
    <w:rsid w:val="007016B1"/>
    <w:rsid w:val="007028DF"/>
    <w:rsid w:val="00703853"/>
    <w:rsid w:val="007062B6"/>
    <w:rsid w:val="0070739F"/>
    <w:rsid w:val="007073D6"/>
    <w:rsid w:val="007113D6"/>
    <w:rsid w:val="00713C62"/>
    <w:rsid w:val="007179CA"/>
    <w:rsid w:val="00721BEC"/>
    <w:rsid w:val="00723CA1"/>
    <w:rsid w:val="00727579"/>
    <w:rsid w:val="00731B63"/>
    <w:rsid w:val="0074361B"/>
    <w:rsid w:val="00744130"/>
    <w:rsid w:val="00751C90"/>
    <w:rsid w:val="00754443"/>
    <w:rsid w:val="00756A45"/>
    <w:rsid w:val="00760E4A"/>
    <w:rsid w:val="00764AAB"/>
    <w:rsid w:val="00765327"/>
    <w:rsid w:val="00765F1F"/>
    <w:rsid w:val="00770012"/>
    <w:rsid w:val="00771677"/>
    <w:rsid w:val="00772A99"/>
    <w:rsid w:val="00776C5A"/>
    <w:rsid w:val="0077704D"/>
    <w:rsid w:val="00777613"/>
    <w:rsid w:val="00780A6F"/>
    <w:rsid w:val="00783D09"/>
    <w:rsid w:val="007A3DD3"/>
    <w:rsid w:val="007A49D4"/>
    <w:rsid w:val="007A71C4"/>
    <w:rsid w:val="007B5ADE"/>
    <w:rsid w:val="007B5F7D"/>
    <w:rsid w:val="007C082A"/>
    <w:rsid w:val="007C167F"/>
    <w:rsid w:val="007C19BC"/>
    <w:rsid w:val="007C688B"/>
    <w:rsid w:val="007D31E7"/>
    <w:rsid w:val="007D6E21"/>
    <w:rsid w:val="007D7879"/>
    <w:rsid w:val="007E3A47"/>
    <w:rsid w:val="007E7488"/>
    <w:rsid w:val="007F0B3F"/>
    <w:rsid w:val="007F31F6"/>
    <w:rsid w:val="007F47B3"/>
    <w:rsid w:val="007F64D5"/>
    <w:rsid w:val="007F66BB"/>
    <w:rsid w:val="007F7016"/>
    <w:rsid w:val="008019BB"/>
    <w:rsid w:val="00801EAC"/>
    <w:rsid w:val="00806DF5"/>
    <w:rsid w:val="00810B09"/>
    <w:rsid w:val="00811418"/>
    <w:rsid w:val="0081638C"/>
    <w:rsid w:val="00820D2F"/>
    <w:rsid w:val="00843AA1"/>
    <w:rsid w:val="00850AB5"/>
    <w:rsid w:val="00851E0C"/>
    <w:rsid w:val="0085492D"/>
    <w:rsid w:val="00855623"/>
    <w:rsid w:val="008564EB"/>
    <w:rsid w:val="008602D1"/>
    <w:rsid w:val="0086162E"/>
    <w:rsid w:val="00863ECC"/>
    <w:rsid w:val="00864037"/>
    <w:rsid w:val="00865E82"/>
    <w:rsid w:val="00866AF9"/>
    <w:rsid w:val="00870317"/>
    <w:rsid w:val="00870A7A"/>
    <w:rsid w:val="00876DDD"/>
    <w:rsid w:val="008772FE"/>
    <w:rsid w:val="00881650"/>
    <w:rsid w:val="00883EC9"/>
    <w:rsid w:val="00885751"/>
    <w:rsid w:val="00885EE2"/>
    <w:rsid w:val="00887F6A"/>
    <w:rsid w:val="00890451"/>
    <w:rsid w:val="008919FF"/>
    <w:rsid w:val="0089362B"/>
    <w:rsid w:val="00893A9C"/>
    <w:rsid w:val="00894CBE"/>
    <w:rsid w:val="008962BF"/>
    <w:rsid w:val="008A06E6"/>
    <w:rsid w:val="008A0DBD"/>
    <w:rsid w:val="008A0F6D"/>
    <w:rsid w:val="008A1490"/>
    <w:rsid w:val="008A256D"/>
    <w:rsid w:val="008A4AE7"/>
    <w:rsid w:val="008A56E8"/>
    <w:rsid w:val="008A7843"/>
    <w:rsid w:val="008B6596"/>
    <w:rsid w:val="008C2139"/>
    <w:rsid w:val="008C7358"/>
    <w:rsid w:val="008C73B0"/>
    <w:rsid w:val="008D09B2"/>
    <w:rsid w:val="008D2851"/>
    <w:rsid w:val="008D2B70"/>
    <w:rsid w:val="008D3FF8"/>
    <w:rsid w:val="008D4F20"/>
    <w:rsid w:val="008D53A1"/>
    <w:rsid w:val="008E277A"/>
    <w:rsid w:val="008E4808"/>
    <w:rsid w:val="008E4921"/>
    <w:rsid w:val="008E55D5"/>
    <w:rsid w:val="008F091E"/>
    <w:rsid w:val="008F6FC7"/>
    <w:rsid w:val="0090183E"/>
    <w:rsid w:val="0090413A"/>
    <w:rsid w:val="00910A0F"/>
    <w:rsid w:val="0091131D"/>
    <w:rsid w:val="00914A40"/>
    <w:rsid w:val="009177CA"/>
    <w:rsid w:val="00921D55"/>
    <w:rsid w:val="009307E8"/>
    <w:rsid w:val="0093601B"/>
    <w:rsid w:val="00943D69"/>
    <w:rsid w:val="00950413"/>
    <w:rsid w:val="00952B8D"/>
    <w:rsid w:val="00954906"/>
    <w:rsid w:val="00955BD4"/>
    <w:rsid w:val="00961FB3"/>
    <w:rsid w:val="00963328"/>
    <w:rsid w:val="00963712"/>
    <w:rsid w:val="009651E6"/>
    <w:rsid w:val="00970F2E"/>
    <w:rsid w:val="00971752"/>
    <w:rsid w:val="00977199"/>
    <w:rsid w:val="00986429"/>
    <w:rsid w:val="0099103C"/>
    <w:rsid w:val="0099145D"/>
    <w:rsid w:val="00991AC7"/>
    <w:rsid w:val="009A2A48"/>
    <w:rsid w:val="009B6E5A"/>
    <w:rsid w:val="009C07D0"/>
    <w:rsid w:val="009C246B"/>
    <w:rsid w:val="009C376C"/>
    <w:rsid w:val="009D06FF"/>
    <w:rsid w:val="009D7752"/>
    <w:rsid w:val="009E1FAE"/>
    <w:rsid w:val="009E51ED"/>
    <w:rsid w:val="009E55E8"/>
    <w:rsid w:val="009E704A"/>
    <w:rsid w:val="009F271A"/>
    <w:rsid w:val="009F7577"/>
    <w:rsid w:val="00A00695"/>
    <w:rsid w:val="00A051ED"/>
    <w:rsid w:val="00A0648C"/>
    <w:rsid w:val="00A15604"/>
    <w:rsid w:val="00A1602A"/>
    <w:rsid w:val="00A23431"/>
    <w:rsid w:val="00A24F6B"/>
    <w:rsid w:val="00A251FB"/>
    <w:rsid w:val="00A3294F"/>
    <w:rsid w:val="00A3370C"/>
    <w:rsid w:val="00A3373F"/>
    <w:rsid w:val="00A34E9B"/>
    <w:rsid w:val="00A35005"/>
    <w:rsid w:val="00A35E5F"/>
    <w:rsid w:val="00A45F73"/>
    <w:rsid w:val="00A54834"/>
    <w:rsid w:val="00A64957"/>
    <w:rsid w:val="00A801F9"/>
    <w:rsid w:val="00A81188"/>
    <w:rsid w:val="00A82380"/>
    <w:rsid w:val="00A85853"/>
    <w:rsid w:val="00A94E2D"/>
    <w:rsid w:val="00A957D9"/>
    <w:rsid w:val="00AA0DAD"/>
    <w:rsid w:val="00AA4655"/>
    <w:rsid w:val="00AB3270"/>
    <w:rsid w:val="00AB4BD1"/>
    <w:rsid w:val="00AC2AB9"/>
    <w:rsid w:val="00AC3153"/>
    <w:rsid w:val="00AC40CC"/>
    <w:rsid w:val="00AC51AE"/>
    <w:rsid w:val="00AD39E2"/>
    <w:rsid w:val="00AD4C8B"/>
    <w:rsid w:val="00AD64B6"/>
    <w:rsid w:val="00AD7F86"/>
    <w:rsid w:val="00AF6C81"/>
    <w:rsid w:val="00AF6D37"/>
    <w:rsid w:val="00B15A9F"/>
    <w:rsid w:val="00B21C87"/>
    <w:rsid w:val="00B26366"/>
    <w:rsid w:val="00B2766D"/>
    <w:rsid w:val="00B30F56"/>
    <w:rsid w:val="00B31497"/>
    <w:rsid w:val="00B32242"/>
    <w:rsid w:val="00B40D11"/>
    <w:rsid w:val="00B439ED"/>
    <w:rsid w:val="00B4529F"/>
    <w:rsid w:val="00B45D2F"/>
    <w:rsid w:val="00B52362"/>
    <w:rsid w:val="00B54652"/>
    <w:rsid w:val="00B569E8"/>
    <w:rsid w:val="00B6102F"/>
    <w:rsid w:val="00B64D2C"/>
    <w:rsid w:val="00B64F00"/>
    <w:rsid w:val="00B65D16"/>
    <w:rsid w:val="00B70DB2"/>
    <w:rsid w:val="00B72690"/>
    <w:rsid w:val="00B7523A"/>
    <w:rsid w:val="00B83AA5"/>
    <w:rsid w:val="00B85981"/>
    <w:rsid w:val="00B85C49"/>
    <w:rsid w:val="00B86D61"/>
    <w:rsid w:val="00B87A6D"/>
    <w:rsid w:val="00B90041"/>
    <w:rsid w:val="00B91411"/>
    <w:rsid w:val="00B91BE2"/>
    <w:rsid w:val="00B922B0"/>
    <w:rsid w:val="00B93889"/>
    <w:rsid w:val="00B97DA8"/>
    <w:rsid w:val="00BA2847"/>
    <w:rsid w:val="00BA4C76"/>
    <w:rsid w:val="00BA712C"/>
    <w:rsid w:val="00BB3272"/>
    <w:rsid w:val="00BB3928"/>
    <w:rsid w:val="00BB6E4E"/>
    <w:rsid w:val="00BC03BA"/>
    <w:rsid w:val="00BC1D46"/>
    <w:rsid w:val="00BC1FD3"/>
    <w:rsid w:val="00BC3A28"/>
    <w:rsid w:val="00BC4503"/>
    <w:rsid w:val="00BD0738"/>
    <w:rsid w:val="00BD3CEC"/>
    <w:rsid w:val="00BE3735"/>
    <w:rsid w:val="00BE7292"/>
    <w:rsid w:val="00BF47C2"/>
    <w:rsid w:val="00C0027A"/>
    <w:rsid w:val="00C0369B"/>
    <w:rsid w:val="00C03958"/>
    <w:rsid w:val="00C0428E"/>
    <w:rsid w:val="00C05568"/>
    <w:rsid w:val="00C123D0"/>
    <w:rsid w:val="00C13F30"/>
    <w:rsid w:val="00C14333"/>
    <w:rsid w:val="00C16816"/>
    <w:rsid w:val="00C16E70"/>
    <w:rsid w:val="00C215E2"/>
    <w:rsid w:val="00C2266F"/>
    <w:rsid w:val="00C2427D"/>
    <w:rsid w:val="00C25095"/>
    <w:rsid w:val="00C334EB"/>
    <w:rsid w:val="00C33BAD"/>
    <w:rsid w:val="00C46814"/>
    <w:rsid w:val="00C524B8"/>
    <w:rsid w:val="00C54649"/>
    <w:rsid w:val="00C550AF"/>
    <w:rsid w:val="00C55857"/>
    <w:rsid w:val="00C56DCC"/>
    <w:rsid w:val="00C63ABF"/>
    <w:rsid w:val="00C63DA9"/>
    <w:rsid w:val="00C65E5C"/>
    <w:rsid w:val="00C66622"/>
    <w:rsid w:val="00C75220"/>
    <w:rsid w:val="00C7589E"/>
    <w:rsid w:val="00C778AC"/>
    <w:rsid w:val="00C82F1E"/>
    <w:rsid w:val="00C83656"/>
    <w:rsid w:val="00C871A8"/>
    <w:rsid w:val="00C9032D"/>
    <w:rsid w:val="00C90960"/>
    <w:rsid w:val="00CB5FA7"/>
    <w:rsid w:val="00CC1A59"/>
    <w:rsid w:val="00CD323E"/>
    <w:rsid w:val="00CD6B92"/>
    <w:rsid w:val="00CE530B"/>
    <w:rsid w:val="00CE7ABB"/>
    <w:rsid w:val="00CF3508"/>
    <w:rsid w:val="00D13776"/>
    <w:rsid w:val="00D17937"/>
    <w:rsid w:val="00D25DE8"/>
    <w:rsid w:val="00D27D9E"/>
    <w:rsid w:val="00D33E16"/>
    <w:rsid w:val="00D34DCD"/>
    <w:rsid w:val="00D36C9C"/>
    <w:rsid w:val="00D37CCB"/>
    <w:rsid w:val="00D37F75"/>
    <w:rsid w:val="00D414B1"/>
    <w:rsid w:val="00D418B9"/>
    <w:rsid w:val="00D455AE"/>
    <w:rsid w:val="00D507EA"/>
    <w:rsid w:val="00D50F7D"/>
    <w:rsid w:val="00D55D61"/>
    <w:rsid w:val="00D61C5C"/>
    <w:rsid w:val="00D73958"/>
    <w:rsid w:val="00D82CF8"/>
    <w:rsid w:val="00D83E71"/>
    <w:rsid w:val="00D8515C"/>
    <w:rsid w:val="00D85422"/>
    <w:rsid w:val="00D9261E"/>
    <w:rsid w:val="00D92E63"/>
    <w:rsid w:val="00DA3770"/>
    <w:rsid w:val="00DA7D71"/>
    <w:rsid w:val="00DB1C90"/>
    <w:rsid w:val="00DB50CF"/>
    <w:rsid w:val="00DC4EBB"/>
    <w:rsid w:val="00DC5169"/>
    <w:rsid w:val="00DD0399"/>
    <w:rsid w:val="00DD1474"/>
    <w:rsid w:val="00DE0655"/>
    <w:rsid w:val="00DE0BE1"/>
    <w:rsid w:val="00DE1C80"/>
    <w:rsid w:val="00DE1D1F"/>
    <w:rsid w:val="00DE40A8"/>
    <w:rsid w:val="00DF1284"/>
    <w:rsid w:val="00DF3589"/>
    <w:rsid w:val="00DF46B4"/>
    <w:rsid w:val="00DF4804"/>
    <w:rsid w:val="00DF4C26"/>
    <w:rsid w:val="00E00556"/>
    <w:rsid w:val="00E00762"/>
    <w:rsid w:val="00E03E99"/>
    <w:rsid w:val="00E16493"/>
    <w:rsid w:val="00E211BF"/>
    <w:rsid w:val="00E2254D"/>
    <w:rsid w:val="00E25ED2"/>
    <w:rsid w:val="00E3037C"/>
    <w:rsid w:val="00E303C4"/>
    <w:rsid w:val="00E375AF"/>
    <w:rsid w:val="00E37B1C"/>
    <w:rsid w:val="00E41D09"/>
    <w:rsid w:val="00E46F10"/>
    <w:rsid w:val="00E51D1E"/>
    <w:rsid w:val="00E544E7"/>
    <w:rsid w:val="00E6042D"/>
    <w:rsid w:val="00E60C18"/>
    <w:rsid w:val="00E64746"/>
    <w:rsid w:val="00E73242"/>
    <w:rsid w:val="00E81295"/>
    <w:rsid w:val="00EA0861"/>
    <w:rsid w:val="00EA5EDF"/>
    <w:rsid w:val="00EA7AC4"/>
    <w:rsid w:val="00EB2988"/>
    <w:rsid w:val="00EB3410"/>
    <w:rsid w:val="00EB7C8E"/>
    <w:rsid w:val="00EC2B4E"/>
    <w:rsid w:val="00EC36DD"/>
    <w:rsid w:val="00EC7D5A"/>
    <w:rsid w:val="00EC7F44"/>
    <w:rsid w:val="00EE5D7E"/>
    <w:rsid w:val="00EE6F45"/>
    <w:rsid w:val="00EF1ED1"/>
    <w:rsid w:val="00EF261B"/>
    <w:rsid w:val="00EF3F81"/>
    <w:rsid w:val="00EF5780"/>
    <w:rsid w:val="00F01069"/>
    <w:rsid w:val="00F018E4"/>
    <w:rsid w:val="00F03076"/>
    <w:rsid w:val="00F05E03"/>
    <w:rsid w:val="00F1023A"/>
    <w:rsid w:val="00F12F96"/>
    <w:rsid w:val="00F13725"/>
    <w:rsid w:val="00F163B5"/>
    <w:rsid w:val="00F17756"/>
    <w:rsid w:val="00F22720"/>
    <w:rsid w:val="00F22E7C"/>
    <w:rsid w:val="00F246AA"/>
    <w:rsid w:val="00F24E22"/>
    <w:rsid w:val="00F2587C"/>
    <w:rsid w:val="00F27C8D"/>
    <w:rsid w:val="00F31A64"/>
    <w:rsid w:val="00F31B23"/>
    <w:rsid w:val="00F31C90"/>
    <w:rsid w:val="00F3559A"/>
    <w:rsid w:val="00F3575B"/>
    <w:rsid w:val="00F40816"/>
    <w:rsid w:val="00F40AE4"/>
    <w:rsid w:val="00F47EA5"/>
    <w:rsid w:val="00F5275B"/>
    <w:rsid w:val="00F54FA2"/>
    <w:rsid w:val="00F55432"/>
    <w:rsid w:val="00F6615F"/>
    <w:rsid w:val="00F735E8"/>
    <w:rsid w:val="00F7416A"/>
    <w:rsid w:val="00F838BB"/>
    <w:rsid w:val="00F93329"/>
    <w:rsid w:val="00F95ACA"/>
    <w:rsid w:val="00FB2837"/>
    <w:rsid w:val="00FB74DF"/>
    <w:rsid w:val="00FC261B"/>
    <w:rsid w:val="00FC5B6A"/>
    <w:rsid w:val="00FC5E59"/>
    <w:rsid w:val="00FC7446"/>
    <w:rsid w:val="00FD2C71"/>
    <w:rsid w:val="00FD3911"/>
    <w:rsid w:val="00FD4BB3"/>
    <w:rsid w:val="00FE2813"/>
    <w:rsid w:val="00FE5E62"/>
    <w:rsid w:val="00FF0DB3"/>
    <w:rsid w:val="00FF46A4"/>
    <w:rsid w:val="00FF6B7C"/>
    <w:rsid w:val="00FF6D98"/>
    <w:rsid w:val="00FF75BC"/>
    <w:rsid w:val="00FF79A1"/>
    <w:rsid w:val="00FF7FCC"/>
    <w:rsid w:val="01D286F3"/>
    <w:rsid w:val="0259DFEC"/>
    <w:rsid w:val="042BEA53"/>
    <w:rsid w:val="04FC32CA"/>
    <w:rsid w:val="054E3586"/>
    <w:rsid w:val="05B6194B"/>
    <w:rsid w:val="0710B635"/>
    <w:rsid w:val="0AD1A19D"/>
    <w:rsid w:val="0B2DA0BF"/>
    <w:rsid w:val="0CD2E2F0"/>
    <w:rsid w:val="0E11BDB2"/>
    <w:rsid w:val="156EC170"/>
    <w:rsid w:val="16CEBDE1"/>
    <w:rsid w:val="18F44E7E"/>
    <w:rsid w:val="19926C8B"/>
    <w:rsid w:val="19E2C79D"/>
    <w:rsid w:val="1D974D01"/>
    <w:rsid w:val="1E6D5182"/>
    <w:rsid w:val="1E70B173"/>
    <w:rsid w:val="1FF71CC3"/>
    <w:rsid w:val="20686747"/>
    <w:rsid w:val="22B1D2D7"/>
    <w:rsid w:val="235A09AA"/>
    <w:rsid w:val="237BA0E3"/>
    <w:rsid w:val="2490699C"/>
    <w:rsid w:val="24F46262"/>
    <w:rsid w:val="25F6C247"/>
    <w:rsid w:val="28049A92"/>
    <w:rsid w:val="2839D6D2"/>
    <w:rsid w:val="28F5F198"/>
    <w:rsid w:val="2ADC4202"/>
    <w:rsid w:val="2E48754D"/>
    <w:rsid w:val="308400EF"/>
    <w:rsid w:val="308CB2AA"/>
    <w:rsid w:val="32032002"/>
    <w:rsid w:val="32FA2375"/>
    <w:rsid w:val="339EF063"/>
    <w:rsid w:val="33EE9380"/>
    <w:rsid w:val="34D7589F"/>
    <w:rsid w:val="38F714B7"/>
    <w:rsid w:val="391E6126"/>
    <w:rsid w:val="393FDE68"/>
    <w:rsid w:val="3BFC03EA"/>
    <w:rsid w:val="3C545A05"/>
    <w:rsid w:val="3D04F095"/>
    <w:rsid w:val="41B1FC84"/>
    <w:rsid w:val="438BAE13"/>
    <w:rsid w:val="43A912DD"/>
    <w:rsid w:val="458FEC99"/>
    <w:rsid w:val="45E5ABF7"/>
    <w:rsid w:val="47D97F94"/>
    <w:rsid w:val="4832B92C"/>
    <w:rsid w:val="489BAFE8"/>
    <w:rsid w:val="4902531B"/>
    <w:rsid w:val="4BF861E7"/>
    <w:rsid w:val="4C628BDF"/>
    <w:rsid w:val="4C6932B3"/>
    <w:rsid w:val="4CB077DD"/>
    <w:rsid w:val="519B3FB0"/>
    <w:rsid w:val="54D97A95"/>
    <w:rsid w:val="5A5D1F16"/>
    <w:rsid w:val="5B487E83"/>
    <w:rsid w:val="5D501A55"/>
    <w:rsid w:val="5EE201CB"/>
    <w:rsid w:val="683382C5"/>
    <w:rsid w:val="6B67357D"/>
    <w:rsid w:val="6B6BC3BF"/>
    <w:rsid w:val="6BD1EDC8"/>
    <w:rsid w:val="6C7F2C73"/>
    <w:rsid w:val="6CB7F444"/>
    <w:rsid w:val="737EF3F1"/>
    <w:rsid w:val="73BA9DA3"/>
    <w:rsid w:val="73EC1F28"/>
    <w:rsid w:val="76C6BD47"/>
    <w:rsid w:val="76EF8513"/>
    <w:rsid w:val="78F52794"/>
    <w:rsid w:val="790D4381"/>
    <w:rsid w:val="7BD440BA"/>
    <w:rsid w:val="7F9A2F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0EEAC"/>
  <w15:chartTrackingRefBased/>
  <w15:docId w15:val="{99A9BDAB-6B0C-4441-AAEF-A1F389B8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40"/>
  </w:style>
  <w:style w:type="paragraph" w:styleId="Heading1">
    <w:name w:val="heading 1"/>
    <w:basedOn w:val="Normal"/>
    <w:link w:val="Heading1Char"/>
    <w:uiPriority w:val="9"/>
    <w:qFormat/>
    <w:rsid w:val="00D37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130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30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37C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numbered paragraph,Bullets,Paragraphe de liste1,Titulo 4,Titulo 4CxSpLast,• List Paragraph,List Paragraph1,List Paragraph11,Table/Figure Heading,Colorful List - Accent 11,List Paragraph (numbered (a)),References"/>
    <w:basedOn w:val="Normal"/>
    <w:link w:val="ListParagraphChar"/>
    <w:uiPriority w:val="34"/>
    <w:qFormat/>
    <w:rsid w:val="002C6C40"/>
    <w:pPr>
      <w:ind w:left="720"/>
      <w:contextualSpacing/>
    </w:pPr>
  </w:style>
  <w:style w:type="paragraph" w:styleId="CommentText">
    <w:name w:val="annotation text"/>
    <w:basedOn w:val="Normal"/>
    <w:link w:val="CommentTextChar"/>
    <w:uiPriority w:val="99"/>
    <w:unhideWhenUsed/>
    <w:rsid w:val="002C6C40"/>
    <w:pPr>
      <w:spacing w:line="240" w:lineRule="auto"/>
    </w:pPr>
    <w:rPr>
      <w:sz w:val="20"/>
      <w:szCs w:val="20"/>
    </w:rPr>
  </w:style>
  <w:style w:type="character" w:customStyle="1" w:styleId="CommentTextChar">
    <w:name w:val="Comment Text Char"/>
    <w:basedOn w:val="DefaultParagraphFont"/>
    <w:link w:val="CommentText"/>
    <w:uiPriority w:val="99"/>
    <w:rsid w:val="002C6C40"/>
    <w:rPr>
      <w:sz w:val="20"/>
      <w:szCs w:val="20"/>
      <w:lang w:val="de-DE"/>
    </w:rPr>
  </w:style>
  <w:style w:type="character" w:customStyle="1" w:styleId="ListParagraphChar">
    <w:name w:val="List Paragraph Char"/>
    <w:aliases w:val="Main numbered paragraph Char,Bullets Char,Paragraphe de liste1 Char,Titulo 4 Char,Titulo 4CxSpLast Char,• List Paragraph Char,List Paragraph1 Char,List Paragraph11 Char,Table/Figure Heading Char,Colorful List - Accent 11 Char"/>
    <w:basedOn w:val="DefaultParagraphFont"/>
    <w:link w:val="ListParagraph"/>
    <w:uiPriority w:val="34"/>
    <w:qFormat/>
    <w:locked/>
    <w:rsid w:val="002C6C40"/>
    <w:rPr>
      <w:lang w:val="de-DE"/>
    </w:rPr>
  </w:style>
  <w:style w:type="paragraph" w:styleId="FootnoteText">
    <w:name w:val="footnote text"/>
    <w:basedOn w:val="Normal"/>
    <w:link w:val="FootnoteTextChar"/>
    <w:uiPriority w:val="99"/>
    <w:unhideWhenUsed/>
    <w:rsid w:val="002C6C40"/>
    <w:pPr>
      <w:spacing w:after="0" w:line="240" w:lineRule="auto"/>
    </w:pPr>
    <w:rPr>
      <w:sz w:val="20"/>
      <w:szCs w:val="20"/>
    </w:rPr>
  </w:style>
  <w:style w:type="character" w:customStyle="1" w:styleId="FootnoteTextChar">
    <w:name w:val="Footnote Text Char"/>
    <w:basedOn w:val="DefaultParagraphFont"/>
    <w:link w:val="FootnoteText"/>
    <w:uiPriority w:val="99"/>
    <w:rsid w:val="002C6C40"/>
    <w:rPr>
      <w:sz w:val="20"/>
      <w:szCs w:val="20"/>
      <w:lang w:val="de-DE"/>
    </w:rPr>
  </w:style>
  <w:style w:type="character" w:styleId="FootnoteReference">
    <w:name w:val="footnote reference"/>
    <w:basedOn w:val="DefaultParagraphFont"/>
    <w:uiPriority w:val="99"/>
    <w:semiHidden/>
    <w:unhideWhenUsed/>
    <w:rsid w:val="002C6C40"/>
    <w:rPr>
      <w:vertAlign w:val="superscript"/>
    </w:rPr>
  </w:style>
  <w:style w:type="character" w:styleId="Hyperlink">
    <w:name w:val="Hyperlink"/>
    <w:basedOn w:val="DefaultParagraphFont"/>
    <w:uiPriority w:val="99"/>
    <w:unhideWhenUsed/>
    <w:rsid w:val="002C6C40"/>
    <w:rPr>
      <w:color w:val="0563C1"/>
      <w:u w:val="single"/>
    </w:rPr>
  </w:style>
  <w:style w:type="character" w:customStyle="1" w:styleId="Heading1Char">
    <w:name w:val="Heading 1 Char"/>
    <w:basedOn w:val="DefaultParagraphFont"/>
    <w:link w:val="Heading1"/>
    <w:uiPriority w:val="9"/>
    <w:rsid w:val="00D37CCB"/>
    <w:rPr>
      <w:rFonts w:ascii="Times New Roman" w:eastAsia="Times New Roman" w:hAnsi="Times New Roman" w:cs="Times New Roman"/>
      <w:b/>
      <w:bCs/>
      <w:kern w:val="36"/>
      <w:sz w:val="48"/>
      <w:szCs w:val="48"/>
      <w:lang w:eastAsia="en-GB"/>
    </w:rPr>
  </w:style>
  <w:style w:type="character" w:customStyle="1" w:styleId="highlight-headerunderline">
    <w:name w:val="highlight-header__underline"/>
    <w:basedOn w:val="DefaultParagraphFont"/>
    <w:rsid w:val="00D37CCB"/>
  </w:style>
  <w:style w:type="paragraph" w:styleId="NormalWeb">
    <w:name w:val="Normal (Web)"/>
    <w:basedOn w:val="Normal"/>
    <w:uiPriority w:val="99"/>
    <w:semiHidden/>
    <w:unhideWhenUsed/>
    <w:rsid w:val="00D37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37CCB"/>
    <w:rPr>
      <w:rFonts w:asciiTheme="majorHAnsi" w:eastAsiaTheme="majorEastAsia" w:hAnsiTheme="majorHAnsi" w:cstheme="majorBidi"/>
      <w:i/>
      <w:iCs/>
      <w:color w:val="2E74B5" w:themeColor="accent1" w:themeShade="BF"/>
      <w:lang w:val="de-DE"/>
    </w:rPr>
  </w:style>
  <w:style w:type="character" w:customStyle="1" w:styleId="Heading2Char">
    <w:name w:val="Heading 2 Char"/>
    <w:basedOn w:val="DefaultParagraphFont"/>
    <w:link w:val="Heading2"/>
    <w:uiPriority w:val="9"/>
    <w:rsid w:val="004130B7"/>
    <w:rPr>
      <w:rFonts w:asciiTheme="majorHAnsi" w:eastAsiaTheme="majorEastAsia" w:hAnsiTheme="majorHAnsi" w:cstheme="majorBidi"/>
      <w:color w:val="2E74B5" w:themeColor="accent1" w:themeShade="BF"/>
      <w:sz w:val="26"/>
      <w:szCs w:val="26"/>
      <w:lang w:val="de-DE"/>
    </w:rPr>
  </w:style>
  <w:style w:type="character" w:customStyle="1" w:styleId="Heading3Char">
    <w:name w:val="Heading 3 Char"/>
    <w:basedOn w:val="DefaultParagraphFont"/>
    <w:link w:val="Heading3"/>
    <w:uiPriority w:val="9"/>
    <w:rsid w:val="004130B7"/>
    <w:rPr>
      <w:rFonts w:asciiTheme="majorHAnsi" w:eastAsiaTheme="majorEastAsia" w:hAnsiTheme="majorHAnsi" w:cstheme="majorBidi"/>
      <w:color w:val="1F4D78" w:themeColor="accent1" w:themeShade="7F"/>
      <w:sz w:val="24"/>
      <w:szCs w:val="24"/>
      <w:lang w:val="de-DE"/>
    </w:rPr>
  </w:style>
  <w:style w:type="character" w:styleId="IntenseReference">
    <w:name w:val="Intense Reference"/>
    <w:basedOn w:val="DefaultParagraphFont"/>
    <w:uiPriority w:val="32"/>
    <w:qFormat/>
    <w:rsid w:val="00893A9C"/>
    <w:rPr>
      <w:b/>
      <w:bCs/>
      <w:smallCaps/>
      <w:color w:val="5B9BD5" w:themeColor="accent1"/>
      <w:spacing w:val="5"/>
    </w:rPr>
  </w:style>
  <w:style w:type="paragraph" w:customStyle="1" w:styleId="Default">
    <w:name w:val="Default"/>
    <w:rsid w:val="000D0BB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60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19BC"/>
    <w:rPr>
      <w:sz w:val="16"/>
      <w:szCs w:val="16"/>
    </w:rPr>
  </w:style>
  <w:style w:type="paragraph" w:styleId="CommentSubject">
    <w:name w:val="annotation subject"/>
    <w:basedOn w:val="CommentText"/>
    <w:next w:val="CommentText"/>
    <w:link w:val="CommentSubjectChar"/>
    <w:uiPriority w:val="99"/>
    <w:semiHidden/>
    <w:unhideWhenUsed/>
    <w:rsid w:val="007C19BC"/>
    <w:rPr>
      <w:b/>
      <w:bCs/>
    </w:rPr>
  </w:style>
  <w:style w:type="character" w:customStyle="1" w:styleId="CommentSubjectChar">
    <w:name w:val="Comment Subject Char"/>
    <w:basedOn w:val="CommentTextChar"/>
    <w:link w:val="CommentSubject"/>
    <w:uiPriority w:val="99"/>
    <w:semiHidden/>
    <w:rsid w:val="007C19BC"/>
    <w:rPr>
      <w:b/>
      <w:bCs/>
      <w:sz w:val="20"/>
      <w:szCs w:val="20"/>
      <w:lang w:val="de-DE"/>
    </w:rPr>
  </w:style>
  <w:style w:type="paragraph" w:styleId="BalloonText">
    <w:name w:val="Balloon Text"/>
    <w:basedOn w:val="Normal"/>
    <w:link w:val="BalloonTextChar"/>
    <w:uiPriority w:val="99"/>
    <w:semiHidden/>
    <w:unhideWhenUsed/>
    <w:rsid w:val="007C1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9BC"/>
    <w:rPr>
      <w:rFonts w:ascii="Segoe UI" w:hAnsi="Segoe UI" w:cs="Segoe UI"/>
      <w:sz w:val="18"/>
      <w:szCs w:val="18"/>
      <w:lang w:val="de-DE"/>
    </w:rPr>
  </w:style>
  <w:style w:type="paragraph" w:styleId="Header">
    <w:name w:val="header"/>
    <w:basedOn w:val="Normal"/>
    <w:link w:val="HeaderChar"/>
    <w:uiPriority w:val="99"/>
    <w:unhideWhenUsed/>
    <w:rsid w:val="003D5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495"/>
    <w:rPr>
      <w:lang w:val="de-DE"/>
    </w:rPr>
  </w:style>
  <w:style w:type="paragraph" w:styleId="Footer">
    <w:name w:val="footer"/>
    <w:basedOn w:val="Normal"/>
    <w:link w:val="FooterChar"/>
    <w:uiPriority w:val="99"/>
    <w:unhideWhenUsed/>
    <w:rsid w:val="003D5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495"/>
    <w:rPr>
      <w:lang w:val="de-DE"/>
    </w:rPr>
  </w:style>
  <w:style w:type="paragraph" w:styleId="Revision">
    <w:name w:val="Revision"/>
    <w:hidden/>
    <w:uiPriority w:val="99"/>
    <w:semiHidden/>
    <w:rsid w:val="00843AA1"/>
    <w:pPr>
      <w:spacing w:after="0" w:line="240" w:lineRule="auto"/>
    </w:pPr>
    <w:rPr>
      <w:lang w:val="de-DE"/>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1F5F0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1F5F0B"/>
  </w:style>
  <w:style w:type="character" w:customStyle="1" w:styleId="eop">
    <w:name w:val="eop"/>
    <w:basedOn w:val="DefaultParagraphFont"/>
    <w:rsid w:val="001F5F0B"/>
  </w:style>
  <w:style w:type="character" w:styleId="UnresolvedMention">
    <w:name w:val="Unresolved Mention"/>
    <w:basedOn w:val="DefaultParagraphFont"/>
    <w:uiPriority w:val="99"/>
    <w:semiHidden/>
    <w:unhideWhenUsed/>
    <w:rsid w:val="007B5F7D"/>
    <w:rPr>
      <w:color w:val="605E5C"/>
      <w:shd w:val="clear" w:color="auto" w:fill="E1DFDD"/>
    </w:rPr>
  </w:style>
  <w:style w:type="character" w:customStyle="1" w:styleId="A3">
    <w:name w:val="A3"/>
    <w:uiPriority w:val="99"/>
    <w:rsid w:val="00EF1ED1"/>
    <w:rPr>
      <w:rFonts w:cs="Lintel"/>
      <w:color w:val="000000"/>
      <w:sz w:val="18"/>
      <w:szCs w:val="18"/>
    </w:rPr>
  </w:style>
  <w:style w:type="character" w:styleId="FollowedHyperlink">
    <w:name w:val="FollowedHyperlink"/>
    <w:basedOn w:val="DefaultParagraphFont"/>
    <w:uiPriority w:val="99"/>
    <w:semiHidden/>
    <w:unhideWhenUsed/>
    <w:rsid w:val="009C3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424">
      <w:bodyDiv w:val="1"/>
      <w:marLeft w:val="0"/>
      <w:marRight w:val="0"/>
      <w:marTop w:val="0"/>
      <w:marBottom w:val="0"/>
      <w:divBdr>
        <w:top w:val="none" w:sz="0" w:space="0" w:color="auto"/>
        <w:left w:val="none" w:sz="0" w:space="0" w:color="auto"/>
        <w:bottom w:val="none" w:sz="0" w:space="0" w:color="auto"/>
        <w:right w:val="none" w:sz="0" w:space="0" w:color="auto"/>
      </w:divBdr>
      <w:divsChild>
        <w:div w:id="1128014810">
          <w:marLeft w:val="0"/>
          <w:marRight w:val="0"/>
          <w:marTop w:val="0"/>
          <w:marBottom w:val="0"/>
          <w:divBdr>
            <w:top w:val="none" w:sz="0" w:space="0" w:color="auto"/>
            <w:left w:val="none" w:sz="0" w:space="0" w:color="auto"/>
            <w:bottom w:val="none" w:sz="0" w:space="0" w:color="auto"/>
            <w:right w:val="none" w:sz="0" w:space="0" w:color="auto"/>
          </w:divBdr>
          <w:divsChild>
            <w:div w:id="2095927724">
              <w:marLeft w:val="0"/>
              <w:marRight w:val="0"/>
              <w:marTop w:val="0"/>
              <w:marBottom w:val="0"/>
              <w:divBdr>
                <w:top w:val="none" w:sz="0" w:space="0" w:color="auto"/>
                <w:left w:val="none" w:sz="0" w:space="0" w:color="auto"/>
                <w:bottom w:val="none" w:sz="0" w:space="0" w:color="auto"/>
                <w:right w:val="none" w:sz="0" w:space="0" w:color="auto"/>
              </w:divBdr>
            </w:div>
          </w:divsChild>
        </w:div>
        <w:div w:id="133768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54592">
      <w:bodyDiv w:val="1"/>
      <w:marLeft w:val="0"/>
      <w:marRight w:val="0"/>
      <w:marTop w:val="0"/>
      <w:marBottom w:val="0"/>
      <w:divBdr>
        <w:top w:val="none" w:sz="0" w:space="0" w:color="auto"/>
        <w:left w:val="none" w:sz="0" w:space="0" w:color="auto"/>
        <w:bottom w:val="none" w:sz="0" w:space="0" w:color="auto"/>
        <w:right w:val="none" w:sz="0" w:space="0" w:color="auto"/>
      </w:divBdr>
    </w:div>
    <w:div w:id="263462395">
      <w:bodyDiv w:val="1"/>
      <w:marLeft w:val="0"/>
      <w:marRight w:val="0"/>
      <w:marTop w:val="0"/>
      <w:marBottom w:val="0"/>
      <w:divBdr>
        <w:top w:val="none" w:sz="0" w:space="0" w:color="auto"/>
        <w:left w:val="none" w:sz="0" w:space="0" w:color="auto"/>
        <w:bottom w:val="none" w:sz="0" w:space="0" w:color="auto"/>
        <w:right w:val="none" w:sz="0" w:space="0" w:color="auto"/>
      </w:divBdr>
      <w:divsChild>
        <w:div w:id="58989889">
          <w:marLeft w:val="0"/>
          <w:marRight w:val="0"/>
          <w:marTop w:val="0"/>
          <w:marBottom w:val="0"/>
          <w:divBdr>
            <w:top w:val="none" w:sz="0" w:space="0" w:color="auto"/>
            <w:left w:val="none" w:sz="0" w:space="0" w:color="auto"/>
            <w:bottom w:val="none" w:sz="0" w:space="0" w:color="auto"/>
            <w:right w:val="none" w:sz="0" w:space="0" w:color="auto"/>
          </w:divBdr>
          <w:divsChild>
            <w:div w:id="1006249820">
              <w:marLeft w:val="0"/>
              <w:marRight w:val="0"/>
              <w:marTop w:val="0"/>
              <w:marBottom w:val="0"/>
              <w:divBdr>
                <w:top w:val="none" w:sz="0" w:space="0" w:color="auto"/>
                <w:left w:val="none" w:sz="0" w:space="0" w:color="auto"/>
                <w:bottom w:val="none" w:sz="0" w:space="0" w:color="auto"/>
                <w:right w:val="none" w:sz="0" w:space="0" w:color="auto"/>
              </w:divBdr>
            </w:div>
          </w:divsChild>
        </w:div>
        <w:div w:id="1180437357">
          <w:marLeft w:val="0"/>
          <w:marRight w:val="0"/>
          <w:marTop w:val="0"/>
          <w:marBottom w:val="0"/>
          <w:divBdr>
            <w:top w:val="none" w:sz="0" w:space="0" w:color="auto"/>
            <w:left w:val="none" w:sz="0" w:space="0" w:color="auto"/>
            <w:bottom w:val="none" w:sz="0" w:space="0" w:color="auto"/>
            <w:right w:val="none" w:sz="0" w:space="0" w:color="auto"/>
          </w:divBdr>
          <w:divsChild>
            <w:div w:id="1589342638">
              <w:marLeft w:val="0"/>
              <w:marRight w:val="0"/>
              <w:marTop w:val="0"/>
              <w:marBottom w:val="0"/>
              <w:divBdr>
                <w:top w:val="none" w:sz="0" w:space="0" w:color="auto"/>
                <w:left w:val="none" w:sz="0" w:space="0" w:color="auto"/>
                <w:bottom w:val="none" w:sz="0" w:space="0" w:color="auto"/>
                <w:right w:val="none" w:sz="0" w:space="0" w:color="auto"/>
              </w:divBdr>
            </w:div>
          </w:divsChild>
        </w:div>
        <w:div w:id="211774419">
          <w:marLeft w:val="0"/>
          <w:marRight w:val="0"/>
          <w:marTop w:val="0"/>
          <w:marBottom w:val="0"/>
          <w:divBdr>
            <w:top w:val="none" w:sz="0" w:space="0" w:color="auto"/>
            <w:left w:val="none" w:sz="0" w:space="0" w:color="auto"/>
            <w:bottom w:val="none" w:sz="0" w:space="0" w:color="auto"/>
            <w:right w:val="none" w:sz="0" w:space="0" w:color="auto"/>
          </w:divBdr>
          <w:divsChild>
            <w:div w:id="1630743699">
              <w:marLeft w:val="0"/>
              <w:marRight w:val="0"/>
              <w:marTop w:val="0"/>
              <w:marBottom w:val="0"/>
              <w:divBdr>
                <w:top w:val="none" w:sz="0" w:space="0" w:color="auto"/>
                <w:left w:val="none" w:sz="0" w:space="0" w:color="auto"/>
                <w:bottom w:val="none" w:sz="0" w:space="0" w:color="auto"/>
                <w:right w:val="none" w:sz="0" w:space="0" w:color="auto"/>
              </w:divBdr>
            </w:div>
          </w:divsChild>
        </w:div>
        <w:div w:id="1647130379">
          <w:marLeft w:val="0"/>
          <w:marRight w:val="0"/>
          <w:marTop w:val="0"/>
          <w:marBottom w:val="0"/>
          <w:divBdr>
            <w:top w:val="none" w:sz="0" w:space="0" w:color="auto"/>
            <w:left w:val="none" w:sz="0" w:space="0" w:color="auto"/>
            <w:bottom w:val="none" w:sz="0" w:space="0" w:color="auto"/>
            <w:right w:val="none" w:sz="0" w:space="0" w:color="auto"/>
          </w:divBdr>
          <w:divsChild>
            <w:div w:id="846403231">
              <w:marLeft w:val="0"/>
              <w:marRight w:val="0"/>
              <w:marTop w:val="0"/>
              <w:marBottom w:val="0"/>
              <w:divBdr>
                <w:top w:val="none" w:sz="0" w:space="0" w:color="auto"/>
                <w:left w:val="none" w:sz="0" w:space="0" w:color="auto"/>
                <w:bottom w:val="none" w:sz="0" w:space="0" w:color="auto"/>
                <w:right w:val="none" w:sz="0" w:space="0" w:color="auto"/>
              </w:divBdr>
            </w:div>
          </w:divsChild>
        </w:div>
        <w:div w:id="1071926367">
          <w:marLeft w:val="0"/>
          <w:marRight w:val="0"/>
          <w:marTop w:val="0"/>
          <w:marBottom w:val="0"/>
          <w:divBdr>
            <w:top w:val="none" w:sz="0" w:space="0" w:color="auto"/>
            <w:left w:val="none" w:sz="0" w:space="0" w:color="auto"/>
            <w:bottom w:val="none" w:sz="0" w:space="0" w:color="auto"/>
            <w:right w:val="none" w:sz="0" w:space="0" w:color="auto"/>
          </w:divBdr>
          <w:divsChild>
            <w:div w:id="1058672683">
              <w:marLeft w:val="0"/>
              <w:marRight w:val="0"/>
              <w:marTop w:val="0"/>
              <w:marBottom w:val="0"/>
              <w:divBdr>
                <w:top w:val="none" w:sz="0" w:space="0" w:color="auto"/>
                <w:left w:val="none" w:sz="0" w:space="0" w:color="auto"/>
                <w:bottom w:val="none" w:sz="0" w:space="0" w:color="auto"/>
                <w:right w:val="none" w:sz="0" w:space="0" w:color="auto"/>
              </w:divBdr>
            </w:div>
          </w:divsChild>
        </w:div>
        <w:div w:id="1017779428">
          <w:marLeft w:val="0"/>
          <w:marRight w:val="0"/>
          <w:marTop w:val="0"/>
          <w:marBottom w:val="0"/>
          <w:divBdr>
            <w:top w:val="none" w:sz="0" w:space="0" w:color="auto"/>
            <w:left w:val="none" w:sz="0" w:space="0" w:color="auto"/>
            <w:bottom w:val="none" w:sz="0" w:space="0" w:color="auto"/>
            <w:right w:val="none" w:sz="0" w:space="0" w:color="auto"/>
          </w:divBdr>
          <w:divsChild>
            <w:div w:id="2115467674">
              <w:marLeft w:val="0"/>
              <w:marRight w:val="0"/>
              <w:marTop w:val="0"/>
              <w:marBottom w:val="0"/>
              <w:divBdr>
                <w:top w:val="none" w:sz="0" w:space="0" w:color="auto"/>
                <w:left w:val="none" w:sz="0" w:space="0" w:color="auto"/>
                <w:bottom w:val="none" w:sz="0" w:space="0" w:color="auto"/>
                <w:right w:val="none" w:sz="0" w:space="0" w:color="auto"/>
              </w:divBdr>
            </w:div>
            <w:div w:id="740367073">
              <w:marLeft w:val="0"/>
              <w:marRight w:val="0"/>
              <w:marTop w:val="0"/>
              <w:marBottom w:val="0"/>
              <w:divBdr>
                <w:top w:val="none" w:sz="0" w:space="0" w:color="auto"/>
                <w:left w:val="none" w:sz="0" w:space="0" w:color="auto"/>
                <w:bottom w:val="none" w:sz="0" w:space="0" w:color="auto"/>
                <w:right w:val="none" w:sz="0" w:space="0" w:color="auto"/>
              </w:divBdr>
            </w:div>
          </w:divsChild>
        </w:div>
        <w:div w:id="917255417">
          <w:marLeft w:val="0"/>
          <w:marRight w:val="0"/>
          <w:marTop w:val="0"/>
          <w:marBottom w:val="0"/>
          <w:divBdr>
            <w:top w:val="none" w:sz="0" w:space="0" w:color="auto"/>
            <w:left w:val="none" w:sz="0" w:space="0" w:color="auto"/>
            <w:bottom w:val="none" w:sz="0" w:space="0" w:color="auto"/>
            <w:right w:val="none" w:sz="0" w:space="0" w:color="auto"/>
          </w:divBdr>
          <w:divsChild>
            <w:div w:id="143130722">
              <w:marLeft w:val="0"/>
              <w:marRight w:val="0"/>
              <w:marTop w:val="0"/>
              <w:marBottom w:val="0"/>
              <w:divBdr>
                <w:top w:val="none" w:sz="0" w:space="0" w:color="auto"/>
                <w:left w:val="none" w:sz="0" w:space="0" w:color="auto"/>
                <w:bottom w:val="none" w:sz="0" w:space="0" w:color="auto"/>
                <w:right w:val="none" w:sz="0" w:space="0" w:color="auto"/>
              </w:divBdr>
            </w:div>
            <w:div w:id="737551607">
              <w:marLeft w:val="0"/>
              <w:marRight w:val="0"/>
              <w:marTop w:val="0"/>
              <w:marBottom w:val="0"/>
              <w:divBdr>
                <w:top w:val="none" w:sz="0" w:space="0" w:color="auto"/>
                <w:left w:val="none" w:sz="0" w:space="0" w:color="auto"/>
                <w:bottom w:val="none" w:sz="0" w:space="0" w:color="auto"/>
                <w:right w:val="none" w:sz="0" w:space="0" w:color="auto"/>
              </w:divBdr>
            </w:div>
            <w:div w:id="1028021286">
              <w:marLeft w:val="0"/>
              <w:marRight w:val="0"/>
              <w:marTop w:val="0"/>
              <w:marBottom w:val="0"/>
              <w:divBdr>
                <w:top w:val="none" w:sz="0" w:space="0" w:color="auto"/>
                <w:left w:val="none" w:sz="0" w:space="0" w:color="auto"/>
                <w:bottom w:val="none" w:sz="0" w:space="0" w:color="auto"/>
                <w:right w:val="none" w:sz="0" w:space="0" w:color="auto"/>
              </w:divBdr>
            </w:div>
            <w:div w:id="1124152979">
              <w:marLeft w:val="0"/>
              <w:marRight w:val="0"/>
              <w:marTop w:val="0"/>
              <w:marBottom w:val="0"/>
              <w:divBdr>
                <w:top w:val="none" w:sz="0" w:space="0" w:color="auto"/>
                <w:left w:val="none" w:sz="0" w:space="0" w:color="auto"/>
                <w:bottom w:val="none" w:sz="0" w:space="0" w:color="auto"/>
                <w:right w:val="none" w:sz="0" w:space="0" w:color="auto"/>
              </w:divBdr>
            </w:div>
          </w:divsChild>
        </w:div>
        <w:div w:id="1808817157">
          <w:marLeft w:val="0"/>
          <w:marRight w:val="0"/>
          <w:marTop w:val="0"/>
          <w:marBottom w:val="0"/>
          <w:divBdr>
            <w:top w:val="none" w:sz="0" w:space="0" w:color="auto"/>
            <w:left w:val="none" w:sz="0" w:space="0" w:color="auto"/>
            <w:bottom w:val="none" w:sz="0" w:space="0" w:color="auto"/>
            <w:right w:val="none" w:sz="0" w:space="0" w:color="auto"/>
          </w:divBdr>
          <w:divsChild>
            <w:div w:id="996618042">
              <w:marLeft w:val="0"/>
              <w:marRight w:val="0"/>
              <w:marTop w:val="0"/>
              <w:marBottom w:val="0"/>
              <w:divBdr>
                <w:top w:val="none" w:sz="0" w:space="0" w:color="auto"/>
                <w:left w:val="none" w:sz="0" w:space="0" w:color="auto"/>
                <w:bottom w:val="none" w:sz="0" w:space="0" w:color="auto"/>
                <w:right w:val="none" w:sz="0" w:space="0" w:color="auto"/>
              </w:divBdr>
            </w:div>
            <w:div w:id="1606814375">
              <w:marLeft w:val="0"/>
              <w:marRight w:val="0"/>
              <w:marTop w:val="0"/>
              <w:marBottom w:val="0"/>
              <w:divBdr>
                <w:top w:val="none" w:sz="0" w:space="0" w:color="auto"/>
                <w:left w:val="none" w:sz="0" w:space="0" w:color="auto"/>
                <w:bottom w:val="none" w:sz="0" w:space="0" w:color="auto"/>
                <w:right w:val="none" w:sz="0" w:space="0" w:color="auto"/>
              </w:divBdr>
            </w:div>
            <w:div w:id="709458632">
              <w:marLeft w:val="0"/>
              <w:marRight w:val="0"/>
              <w:marTop w:val="0"/>
              <w:marBottom w:val="0"/>
              <w:divBdr>
                <w:top w:val="none" w:sz="0" w:space="0" w:color="auto"/>
                <w:left w:val="none" w:sz="0" w:space="0" w:color="auto"/>
                <w:bottom w:val="none" w:sz="0" w:space="0" w:color="auto"/>
                <w:right w:val="none" w:sz="0" w:space="0" w:color="auto"/>
              </w:divBdr>
            </w:div>
          </w:divsChild>
        </w:div>
        <w:div w:id="2634120">
          <w:marLeft w:val="0"/>
          <w:marRight w:val="0"/>
          <w:marTop w:val="0"/>
          <w:marBottom w:val="0"/>
          <w:divBdr>
            <w:top w:val="none" w:sz="0" w:space="0" w:color="auto"/>
            <w:left w:val="none" w:sz="0" w:space="0" w:color="auto"/>
            <w:bottom w:val="none" w:sz="0" w:space="0" w:color="auto"/>
            <w:right w:val="none" w:sz="0" w:space="0" w:color="auto"/>
          </w:divBdr>
          <w:divsChild>
            <w:div w:id="1066296200">
              <w:marLeft w:val="0"/>
              <w:marRight w:val="0"/>
              <w:marTop w:val="0"/>
              <w:marBottom w:val="0"/>
              <w:divBdr>
                <w:top w:val="none" w:sz="0" w:space="0" w:color="auto"/>
                <w:left w:val="none" w:sz="0" w:space="0" w:color="auto"/>
                <w:bottom w:val="none" w:sz="0" w:space="0" w:color="auto"/>
                <w:right w:val="none" w:sz="0" w:space="0" w:color="auto"/>
              </w:divBdr>
            </w:div>
          </w:divsChild>
        </w:div>
        <w:div w:id="1002390821">
          <w:marLeft w:val="0"/>
          <w:marRight w:val="0"/>
          <w:marTop w:val="0"/>
          <w:marBottom w:val="0"/>
          <w:divBdr>
            <w:top w:val="none" w:sz="0" w:space="0" w:color="auto"/>
            <w:left w:val="none" w:sz="0" w:space="0" w:color="auto"/>
            <w:bottom w:val="none" w:sz="0" w:space="0" w:color="auto"/>
            <w:right w:val="none" w:sz="0" w:space="0" w:color="auto"/>
          </w:divBdr>
          <w:divsChild>
            <w:div w:id="1280407672">
              <w:marLeft w:val="0"/>
              <w:marRight w:val="0"/>
              <w:marTop w:val="0"/>
              <w:marBottom w:val="0"/>
              <w:divBdr>
                <w:top w:val="none" w:sz="0" w:space="0" w:color="auto"/>
                <w:left w:val="none" w:sz="0" w:space="0" w:color="auto"/>
                <w:bottom w:val="none" w:sz="0" w:space="0" w:color="auto"/>
                <w:right w:val="none" w:sz="0" w:space="0" w:color="auto"/>
              </w:divBdr>
            </w:div>
            <w:div w:id="1034231655">
              <w:marLeft w:val="0"/>
              <w:marRight w:val="0"/>
              <w:marTop w:val="0"/>
              <w:marBottom w:val="0"/>
              <w:divBdr>
                <w:top w:val="none" w:sz="0" w:space="0" w:color="auto"/>
                <w:left w:val="none" w:sz="0" w:space="0" w:color="auto"/>
                <w:bottom w:val="none" w:sz="0" w:space="0" w:color="auto"/>
                <w:right w:val="none" w:sz="0" w:space="0" w:color="auto"/>
              </w:divBdr>
            </w:div>
          </w:divsChild>
        </w:div>
        <w:div w:id="1825466274">
          <w:marLeft w:val="0"/>
          <w:marRight w:val="0"/>
          <w:marTop w:val="0"/>
          <w:marBottom w:val="0"/>
          <w:divBdr>
            <w:top w:val="none" w:sz="0" w:space="0" w:color="auto"/>
            <w:left w:val="none" w:sz="0" w:space="0" w:color="auto"/>
            <w:bottom w:val="none" w:sz="0" w:space="0" w:color="auto"/>
            <w:right w:val="none" w:sz="0" w:space="0" w:color="auto"/>
          </w:divBdr>
          <w:divsChild>
            <w:div w:id="662045266">
              <w:marLeft w:val="0"/>
              <w:marRight w:val="0"/>
              <w:marTop w:val="0"/>
              <w:marBottom w:val="0"/>
              <w:divBdr>
                <w:top w:val="none" w:sz="0" w:space="0" w:color="auto"/>
                <w:left w:val="none" w:sz="0" w:space="0" w:color="auto"/>
                <w:bottom w:val="none" w:sz="0" w:space="0" w:color="auto"/>
                <w:right w:val="none" w:sz="0" w:space="0" w:color="auto"/>
              </w:divBdr>
            </w:div>
            <w:div w:id="272636529">
              <w:marLeft w:val="0"/>
              <w:marRight w:val="0"/>
              <w:marTop w:val="0"/>
              <w:marBottom w:val="0"/>
              <w:divBdr>
                <w:top w:val="none" w:sz="0" w:space="0" w:color="auto"/>
                <w:left w:val="none" w:sz="0" w:space="0" w:color="auto"/>
                <w:bottom w:val="none" w:sz="0" w:space="0" w:color="auto"/>
                <w:right w:val="none" w:sz="0" w:space="0" w:color="auto"/>
              </w:divBdr>
            </w:div>
            <w:div w:id="2078354052">
              <w:marLeft w:val="0"/>
              <w:marRight w:val="0"/>
              <w:marTop w:val="0"/>
              <w:marBottom w:val="0"/>
              <w:divBdr>
                <w:top w:val="none" w:sz="0" w:space="0" w:color="auto"/>
                <w:left w:val="none" w:sz="0" w:space="0" w:color="auto"/>
                <w:bottom w:val="none" w:sz="0" w:space="0" w:color="auto"/>
                <w:right w:val="none" w:sz="0" w:space="0" w:color="auto"/>
              </w:divBdr>
            </w:div>
            <w:div w:id="242641527">
              <w:marLeft w:val="0"/>
              <w:marRight w:val="0"/>
              <w:marTop w:val="0"/>
              <w:marBottom w:val="0"/>
              <w:divBdr>
                <w:top w:val="none" w:sz="0" w:space="0" w:color="auto"/>
                <w:left w:val="none" w:sz="0" w:space="0" w:color="auto"/>
                <w:bottom w:val="none" w:sz="0" w:space="0" w:color="auto"/>
                <w:right w:val="none" w:sz="0" w:space="0" w:color="auto"/>
              </w:divBdr>
            </w:div>
          </w:divsChild>
        </w:div>
        <w:div w:id="1891962680">
          <w:marLeft w:val="0"/>
          <w:marRight w:val="0"/>
          <w:marTop w:val="0"/>
          <w:marBottom w:val="0"/>
          <w:divBdr>
            <w:top w:val="none" w:sz="0" w:space="0" w:color="auto"/>
            <w:left w:val="none" w:sz="0" w:space="0" w:color="auto"/>
            <w:bottom w:val="none" w:sz="0" w:space="0" w:color="auto"/>
            <w:right w:val="none" w:sz="0" w:space="0" w:color="auto"/>
          </w:divBdr>
          <w:divsChild>
            <w:div w:id="1270972232">
              <w:marLeft w:val="0"/>
              <w:marRight w:val="0"/>
              <w:marTop w:val="0"/>
              <w:marBottom w:val="0"/>
              <w:divBdr>
                <w:top w:val="none" w:sz="0" w:space="0" w:color="auto"/>
                <w:left w:val="none" w:sz="0" w:space="0" w:color="auto"/>
                <w:bottom w:val="none" w:sz="0" w:space="0" w:color="auto"/>
                <w:right w:val="none" w:sz="0" w:space="0" w:color="auto"/>
              </w:divBdr>
            </w:div>
            <w:div w:id="772046582">
              <w:marLeft w:val="0"/>
              <w:marRight w:val="0"/>
              <w:marTop w:val="0"/>
              <w:marBottom w:val="0"/>
              <w:divBdr>
                <w:top w:val="none" w:sz="0" w:space="0" w:color="auto"/>
                <w:left w:val="none" w:sz="0" w:space="0" w:color="auto"/>
                <w:bottom w:val="none" w:sz="0" w:space="0" w:color="auto"/>
                <w:right w:val="none" w:sz="0" w:space="0" w:color="auto"/>
              </w:divBdr>
            </w:div>
            <w:div w:id="1069115352">
              <w:marLeft w:val="0"/>
              <w:marRight w:val="0"/>
              <w:marTop w:val="0"/>
              <w:marBottom w:val="0"/>
              <w:divBdr>
                <w:top w:val="none" w:sz="0" w:space="0" w:color="auto"/>
                <w:left w:val="none" w:sz="0" w:space="0" w:color="auto"/>
                <w:bottom w:val="none" w:sz="0" w:space="0" w:color="auto"/>
                <w:right w:val="none" w:sz="0" w:space="0" w:color="auto"/>
              </w:divBdr>
            </w:div>
          </w:divsChild>
        </w:div>
        <w:div w:id="1829636565">
          <w:marLeft w:val="0"/>
          <w:marRight w:val="0"/>
          <w:marTop w:val="0"/>
          <w:marBottom w:val="0"/>
          <w:divBdr>
            <w:top w:val="none" w:sz="0" w:space="0" w:color="auto"/>
            <w:left w:val="none" w:sz="0" w:space="0" w:color="auto"/>
            <w:bottom w:val="none" w:sz="0" w:space="0" w:color="auto"/>
            <w:right w:val="none" w:sz="0" w:space="0" w:color="auto"/>
          </w:divBdr>
          <w:divsChild>
            <w:div w:id="1404377383">
              <w:marLeft w:val="0"/>
              <w:marRight w:val="0"/>
              <w:marTop w:val="0"/>
              <w:marBottom w:val="0"/>
              <w:divBdr>
                <w:top w:val="none" w:sz="0" w:space="0" w:color="auto"/>
                <w:left w:val="none" w:sz="0" w:space="0" w:color="auto"/>
                <w:bottom w:val="none" w:sz="0" w:space="0" w:color="auto"/>
                <w:right w:val="none" w:sz="0" w:space="0" w:color="auto"/>
              </w:divBdr>
            </w:div>
          </w:divsChild>
        </w:div>
        <w:div w:id="802163097">
          <w:marLeft w:val="0"/>
          <w:marRight w:val="0"/>
          <w:marTop w:val="0"/>
          <w:marBottom w:val="0"/>
          <w:divBdr>
            <w:top w:val="none" w:sz="0" w:space="0" w:color="auto"/>
            <w:left w:val="none" w:sz="0" w:space="0" w:color="auto"/>
            <w:bottom w:val="none" w:sz="0" w:space="0" w:color="auto"/>
            <w:right w:val="none" w:sz="0" w:space="0" w:color="auto"/>
          </w:divBdr>
          <w:divsChild>
            <w:div w:id="1235553279">
              <w:marLeft w:val="0"/>
              <w:marRight w:val="0"/>
              <w:marTop w:val="0"/>
              <w:marBottom w:val="0"/>
              <w:divBdr>
                <w:top w:val="none" w:sz="0" w:space="0" w:color="auto"/>
                <w:left w:val="none" w:sz="0" w:space="0" w:color="auto"/>
                <w:bottom w:val="none" w:sz="0" w:space="0" w:color="auto"/>
                <w:right w:val="none" w:sz="0" w:space="0" w:color="auto"/>
              </w:divBdr>
            </w:div>
          </w:divsChild>
        </w:div>
        <w:div w:id="746149084">
          <w:marLeft w:val="0"/>
          <w:marRight w:val="0"/>
          <w:marTop w:val="0"/>
          <w:marBottom w:val="0"/>
          <w:divBdr>
            <w:top w:val="none" w:sz="0" w:space="0" w:color="auto"/>
            <w:left w:val="none" w:sz="0" w:space="0" w:color="auto"/>
            <w:bottom w:val="none" w:sz="0" w:space="0" w:color="auto"/>
            <w:right w:val="none" w:sz="0" w:space="0" w:color="auto"/>
          </w:divBdr>
          <w:divsChild>
            <w:div w:id="775104130">
              <w:marLeft w:val="0"/>
              <w:marRight w:val="0"/>
              <w:marTop w:val="0"/>
              <w:marBottom w:val="0"/>
              <w:divBdr>
                <w:top w:val="none" w:sz="0" w:space="0" w:color="auto"/>
                <w:left w:val="none" w:sz="0" w:space="0" w:color="auto"/>
                <w:bottom w:val="none" w:sz="0" w:space="0" w:color="auto"/>
                <w:right w:val="none" w:sz="0" w:space="0" w:color="auto"/>
              </w:divBdr>
            </w:div>
            <w:div w:id="1679649581">
              <w:marLeft w:val="0"/>
              <w:marRight w:val="0"/>
              <w:marTop w:val="0"/>
              <w:marBottom w:val="0"/>
              <w:divBdr>
                <w:top w:val="none" w:sz="0" w:space="0" w:color="auto"/>
                <w:left w:val="none" w:sz="0" w:space="0" w:color="auto"/>
                <w:bottom w:val="none" w:sz="0" w:space="0" w:color="auto"/>
                <w:right w:val="none" w:sz="0" w:space="0" w:color="auto"/>
              </w:divBdr>
            </w:div>
            <w:div w:id="1431009376">
              <w:marLeft w:val="0"/>
              <w:marRight w:val="0"/>
              <w:marTop w:val="0"/>
              <w:marBottom w:val="0"/>
              <w:divBdr>
                <w:top w:val="none" w:sz="0" w:space="0" w:color="auto"/>
                <w:left w:val="none" w:sz="0" w:space="0" w:color="auto"/>
                <w:bottom w:val="none" w:sz="0" w:space="0" w:color="auto"/>
                <w:right w:val="none" w:sz="0" w:space="0" w:color="auto"/>
              </w:divBdr>
            </w:div>
          </w:divsChild>
        </w:div>
        <w:div w:id="952708791">
          <w:marLeft w:val="0"/>
          <w:marRight w:val="0"/>
          <w:marTop w:val="0"/>
          <w:marBottom w:val="0"/>
          <w:divBdr>
            <w:top w:val="none" w:sz="0" w:space="0" w:color="auto"/>
            <w:left w:val="none" w:sz="0" w:space="0" w:color="auto"/>
            <w:bottom w:val="none" w:sz="0" w:space="0" w:color="auto"/>
            <w:right w:val="none" w:sz="0" w:space="0" w:color="auto"/>
          </w:divBdr>
          <w:divsChild>
            <w:div w:id="411463492">
              <w:marLeft w:val="0"/>
              <w:marRight w:val="0"/>
              <w:marTop w:val="0"/>
              <w:marBottom w:val="0"/>
              <w:divBdr>
                <w:top w:val="none" w:sz="0" w:space="0" w:color="auto"/>
                <w:left w:val="none" w:sz="0" w:space="0" w:color="auto"/>
                <w:bottom w:val="none" w:sz="0" w:space="0" w:color="auto"/>
                <w:right w:val="none" w:sz="0" w:space="0" w:color="auto"/>
              </w:divBdr>
            </w:div>
          </w:divsChild>
        </w:div>
        <w:div w:id="1703049813">
          <w:marLeft w:val="0"/>
          <w:marRight w:val="0"/>
          <w:marTop w:val="0"/>
          <w:marBottom w:val="0"/>
          <w:divBdr>
            <w:top w:val="none" w:sz="0" w:space="0" w:color="auto"/>
            <w:left w:val="none" w:sz="0" w:space="0" w:color="auto"/>
            <w:bottom w:val="none" w:sz="0" w:space="0" w:color="auto"/>
            <w:right w:val="none" w:sz="0" w:space="0" w:color="auto"/>
          </w:divBdr>
          <w:divsChild>
            <w:div w:id="817575425">
              <w:marLeft w:val="0"/>
              <w:marRight w:val="0"/>
              <w:marTop w:val="0"/>
              <w:marBottom w:val="0"/>
              <w:divBdr>
                <w:top w:val="none" w:sz="0" w:space="0" w:color="auto"/>
                <w:left w:val="none" w:sz="0" w:space="0" w:color="auto"/>
                <w:bottom w:val="none" w:sz="0" w:space="0" w:color="auto"/>
                <w:right w:val="none" w:sz="0" w:space="0" w:color="auto"/>
              </w:divBdr>
            </w:div>
          </w:divsChild>
        </w:div>
        <w:div w:id="646057437">
          <w:marLeft w:val="0"/>
          <w:marRight w:val="0"/>
          <w:marTop w:val="0"/>
          <w:marBottom w:val="0"/>
          <w:divBdr>
            <w:top w:val="none" w:sz="0" w:space="0" w:color="auto"/>
            <w:left w:val="none" w:sz="0" w:space="0" w:color="auto"/>
            <w:bottom w:val="none" w:sz="0" w:space="0" w:color="auto"/>
            <w:right w:val="none" w:sz="0" w:space="0" w:color="auto"/>
          </w:divBdr>
          <w:divsChild>
            <w:div w:id="1114130358">
              <w:marLeft w:val="0"/>
              <w:marRight w:val="0"/>
              <w:marTop w:val="0"/>
              <w:marBottom w:val="0"/>
              <w:divBdr>
                <w:top w:val="none" w:sz="0" w:space="0" w:color="auto"/>
                <w:left w:val="none" w:sz="0" w:space="0" w:color="auto"/>
                <w:bottom w:val="none" w:sz="0" w:space="0" w:color="auto"/>
                <w:right w:val="none" w:sz="0" w:space="0" w:color="auto"/>
              </w:divBdr>
            </w:div>
          </w:divsChild>
        </w:div>
        <w:div w:id="1715500447">
          <w:marLeft w:val="0"/>
          <w:marRight w:val="0"/>
          <w:marTop w:val="0"/>
          <w:marBottom w:val="0"/>
          <w:divBdr>
            <w:top w:val="none" w:sz="0" w:space="0" w:color="auto"/>
            <w:left w:val="none" w:sz="0" w:space="0" w:color="auto"/>
            <w:bottom w:val="none" w:sz="0" w:space="0" w:color="auto"/>
            <w:right w:val="none" w:sz="0" w:space="0" w:color="auto"/>
          </w:divBdr>
          <w:divsChild>
            <w:div w:id="1811436108">
              <w:marLeft w:val="0"/>
              <w:marRight w:val="0"/>
              <w:marTop w:val="0"/>
              <w:marBottom w:val="0"/>
              <w:divBdr>
                <w:top w:val="none" w:sz="0" w:space="0" w:color="auto"/>
                <w:left w:val="none" w:sz="0" w:space="0" w:color="auto"/>
                <w:bottom w:val="none" w:sz="0" w:space="0" w:color="auto"/>
                <w:right w:val="none" w:sz="0" w:space="0" w:color="auto"/>
              </w:divBdr>
            </w:div>
            <w:div w:id="1079869103">
              <w:marLeft w:val="0"/>
              <w:marRight w:val="0"/>
              <w:marTop w:val="0"/>
              <w:marBottom w:val="0"/>
              <w:divBdr>
                <w:top w:val="none" w:sz="0" w:space="0" w:color="auto"/>
                <w:left w:val="none" w:sz="0" w:space="0" w:color="auto"/>
                <w:bottom w:val="none" w:sz="0" w:space="0" w:color="auto"/>
                <w:right w:val="none" w:sz="0" w:space="0" w:color="auto"/>
              </w:divBdr>
            </w:div>
            <w:div w:id="957762376">
              <w:marLeft w:val="0"/>
              <w:marRight w:val="0"/>
              <w:marTop w:val="0"/>
              <w:marBottom w:val="0"/>
              <w:divBdr>
                <w:top w:val="none" w:sz="0" w:space="0" w:color="auto"/>
                <w:left w:val="none" w:sz="0" w:space="0" w:color="auto"/>
                <w:bottom w:val="none" w:sz="0" w:space="0" w:color="auto"/>
                <w:right w:val="none" w:sz="0" w:space="0" w:color="auto"/>
              </w:divBdr>
            </w:div>
            <w:div w:id="881793464">
              <w:marLeft w:val="0"/>
              <w:marRight w:val="0"/>
              <w:marTop w:val="0"/>
              <w:marBottom w:val="0"/>
              <w:divBdr>
                <w:top w:val="none" w:sz="0" w:space="0" w:color="auto"/>
                <w:left w:val="none" w:sz="0" w:space="0" w:color="auto"/>
                <w:bottom w:val="none" w:sz="0" w:space="0" w:color="auto"/>
                <w:right w:val="none" w:sz="0" w:space="0" w:color="auto"/>
              </w:divBdr>
            </w:div>
            <w:div w:id="1096247186">
              <w:marLeft w:val="0"/>
              <w:marRight w:val="0"/>
              <w:marTop w:val="0"/>
              <w:marBottom w:val="0"/>
              <w:divBdr>
                <w:top w:val="none" w:sz="0" w:space="0" w:color="auto"/>
                <w:left w:val="none" w:sz="0" w:space="0" w:color="auto"/>
                <w:bottom w:val="none" w:sz="0" w:space="0" w:color="auto"/>
                <w:right w:val="none" w:sz="0" w:space="0" w:color="auto"/>
              </w:divBdr>
            </w:div>
          </w:divsChild>
        </w:div>
        <w:div w:id="893614090">
          <w:marLeft w:val="0"/>
          <w:marRight w:val="0"/>
          <w:marTop w:val="0"/>
          <w:marBottom w:val="0"/>
          <w:divBdr>
            <w:top w:val="none" w:sz="0" w:space="0" w:color="auto"/>
            <w:left w:val="none" w:sz="0" w:space="0" w:color="auto"/>
            <w:bottom w:val="none" w:sz="0" w:space="0" w:color="auto"/>
            <w:right w:val="none" w:sz="0" w:space="0" w:color="auto"/>
          </w:divBdr>
          <w:divsChild>
            <w:div w:id="1990359113">
              <w:marLeft w:val="0"/>
              <w:marRight w:val="0"/>
              <w:marTop w:val="0"/>
              <w:marBottom w:val="0"/>
              <w:divBdr>
                <w:top w:val="none" w:sz="0" w:space="0" w:color="auto"/>
                <w:left w:val="none" w:sz="0" w:space="0" w:color="auto"/>
                <w:bottom w:val="none" w:sz="0" w:space="0" w:color="auto"/>
                <w:right w:val="none" w:sz="0" w:space="0" w:color="auto"/>
              </w:divBdr>
            </w:div>
            <w:div w:id="670064581">
              <w:marLeft w:val="0"/>
              <w:marRight w:val="0"/>
              <w:marTop w:val="0"/>
              <w:marBottom w:val="0"/>
              <w:divBdr>
                <w:top w:val="none" w:sz="0" w:space="0" w:color="auto"/>
                <w:left w:val="none" w:sz="0" w:space="0" w:color="auto"/>
                <w:bottom w:val="none" w:sz="0" w:space="0" w:color="auto"/>
                <w:right w:val="none" w:sz="0" w:space="0" w:color="auto"/>
              </w:divBdr>
            </w:div>
            <w:div w:id="852913905">
              <w:marLeft w:val="0"/>
              <w:marRight w:val="0"/>
              <w:marTop w:val="0"/>
              <w:marBottom w:val="0"/>
              <w:divBdr>
                <w:top w:val="none" w:sz="0" w:space="0" w:color="auto"/>
                <w:left w:val="none" w:sz="0" w:space="0" w:color="auto"/>
                <w:bottom w:val="none" w:sz="0" w:space="0" w:color="auto"/>
                <w:right w:val="none" w:sz="0" w:space="0" w:color="auto"/>
              </w:divBdr>
            </w:div>
          </w:divsChild>
        </w:div>
        <w:div w:id="150372199">
          <w:marLeft w:val="0"/>
          <w:marRight w:val="0"/>
          <w:marTop w:val="0"/>
          <w:marBottom w:val="0"/>
          <w:divBdr>
            <w:top w:val="none" w:sz="0" w:space="0" w:color="auto"/>
            <w:left w:val="none" w:sz="0" w:space="0" w:color="auto"/>
            <w:bottom w:val="none" w:sz="0" w:space="0" w:color="auto"/>
            <w:right w:val="none" w:sz="0" w:space="0" w:color="auto"/>
          </w:divBdr>
          <w:divsChild>
            <w:div w:id="1411345673">
              <w:marLeft w:val="0"/>
              <w:marRight w:val="0"/>
              <w:marTop w:val="0"/>
              <w:marBottom w:val="0"/>
              <w:divBdr>
                <w:top w:val="none" w:sz="0" w:space="0" w:color="auto"/>
                <w:left w:val="none" w:sz="0" w:space="0" w:color="auto"/>
                <w:bottom w:val="none" w:sz="0" w:space="0" w:color="auto"/>
                <w:right w:val="none" w:sz="0" w:space="0" w:color="auto"/>
              </w:divBdr>
            </w:div>
          </w:divsChild>
        </w:div>
        <w:div w:id="795099419">
          <w:marLeft w:val="0"/>
          <w:marRight w:val="0"/>
          <w:marTop w:val="0"/>
          <w:marBottom w:val="0"/>
          <w:divBdr>
            <w:top w:val="none" w:sz="0" w:space="0" w:color="auto"/>
            <w:left w:val="none" w:sz="0" w:space="0" w:color="auto"/>
            <w:bottom w:val="none" w:sz="0" w:space="0" w:color="auto"/>
            <w:right w:val="none" w:sz="0" w:space="0" w:color="auto"/>
          </w:divBdr>
          <w:divsChild>
            <w:div w:id="1120106125">
              <w:marLeft w:val="0"/>
              <w:marRight w:val="0"/>
              <w:marTop w:val="0"/>
              <w:marBottom w:val="0"/>
              <w:divBdr>
                <w:top w:val="none" w:sz="0" w:space="0" w:color="auto"/>
                <w:left w:val="none" w:sz="0" w:space="0" w:color="auto"/>
                <w:bottom w:val="none" w:sz="0" w:space="0" w:color="auto"/>
                <w:right w:val="none" w:sz="0" w:space="0" w:color="auto"/>
              </w:divBdr>
            </w:div>
            <w:div w:id="446386053">
              <w:marLeft w:val="0"/>
              <w:marRight w:val="0"/>
              <w:marTop w:val="0"/>
              <w:marBottom w:val="0"/>
              <w:divBdr>
                <w:top w:val="none" w:sz="0" w:space="0" w:color="auto"/>
                <w:left w:val="none" w:sz="0" w:space="0" w:color="auto"/>
                <w:bottom w:val="none" w:sz="0" w:space="0" w:color="auto"/>
                <w:right w:val="none" w:sz="0" w:space="0" w:color="auto"/>
              </w:divBdr>
            </w:div>
          </w:divsChild>
        </w:div>
        <w:div w:id="515271682">
          <w:marLeft w:val="0"/>
          <w:marRight w:val="0"/>
          <w:marTop w:val="0"/>
          <w:marBottom w:val="0"/>
          <w:divBdr>
            <w:top w:val="none" w:sz="0" w:space="0" w:color="auto"/>
            <w:left w:val="none" w:sz="0" w:space="0" w:color="auto"/>
            <w:bottom w:val="none" w:sz="0" w:space="0" w:color="auto"/>
            <w:right w:val="none" w:sz="0" w:space="0" w:color="auto"/>
          </w:divBdr>
          <w:divsChild>
            <w:div w:id="1120369981">
              <w:marLeft w:val="0"/>
              <w:marRight w:val="0"/>
              <w:marTop w:val="0"/>
              <w:marBottom w:val="0"/>
              <w:divBdr>
                <w:top w:val="none" w:sz="0" w:space="0" w:color="auto"/>
                <w:left w:val="none" w:sz="0" w:space="0" w:color="auto"/>
                <w:bottom w:val="none" w:sz="0" w:space="0" w:color="auto"/>
                <w:right w:val="none" w:sz="0" w:space="0" w:color="auto"/>
              </w:divBdr>
            </w:div>
            <w:div w:id="741218249">
              <w:marLeft w:val="0"/>
              <w:marRight w:val="0"/>
              <w:marTop w:val="0"/>
              <w:marBottom w:val="0"/>
              <w:divBdr>
                <w:top w:val="none" w:sz="0" w:space="0" w:color="auto"/>
                <w:left w:val="none" w:sz="0" w:space="0" w:color="auto"/>
                <w:bottom w:val="none" w:sz="0" w:space="0" w:color="auto"/>
                <w:right w:val="none" w:sz="0" w:space="0" w:color="auto"/>
              </w:divBdr>
            </w:div>
            <w:div w:id="267544365">
              <w:marLeft w:val="0"/>
              <w:marRight w:val="0"/>
              <w:marTop w:val="0"/>
              <w:marBottom w:val="0"/>
              <w:divBdr>
                <w:top w:val="none" w:sz="0" w:space="0" w:color="auto"/>
                <w:left w:val="none" w:sz="0" w:space="0" w:color="auto"/>
                <w:bottom w:val="none" w:sz="0" w:space="0" w:color="auto"/>
                <w:right w:val="none" w:sz="0" w:space="0" w:color="auto"/>
              </w:divBdr>
            </w:div>
            <w:div w:id="1655521882">
              <w:marLeft w:val="0"/>
              <w:marRight w:val="0"/>
              <w:marTop w:val="0"/>
              <w:marBottom w:val="0"/>
              <w:divBdr>
                <w:top w:val="none" w:sz="0" w:space="0" w:color="auto"/>
                <w:left w:val="none" w:sz="0" w:space="0" w:color="auto"/>
                <w:bottom w:val="none" w:sz="0" w:space="0" w:color="auto"/>
                <w:right w:val="none" w:sz="0" w:space="0" w:color="auto"/>
              </w:divBdr>
            </w:div>
          </w:divsChild>
        </w:div>
        <w:div w:id="1548420468">
          <w:marLeft w:val="0"/>
          <w:marRight w:val="0"/>
          <w:marTop w:val="0"/>
          <w:marBottom w:val="0"/>
          <w:divBdr>
            <w:top w:val="none" w:sz="0" w:space="0" w:color="auto"/>
            <w:left w:val="none" w:sz="0" w:space="0" w:color="auto"/>
            <w:bottom w:val="none" w:sz="0" w:space="0" w:color="auto"/>
            <w:right w:val="none" w:sz="0" w:space="0" w:color="auto"/>
          </w:divBdr>
          <w:divsChild>
            <w:div w:id="923225633">
              <w:marLeft w:val="0"/>
              <w:marRight w:val="0"/>
              <w:marTop w:val="0"/>
              <w:marBottom w:val="0"/>
              <w:divBdr>
                <w:top w:val="none" w:sz="0" w:space="0" w:color="auto"/>
                <w:left w:val="none" w:sz="0" w:space="0" w:color="auto"/>
                <w:bottom w:val="none" w:sz="0" w:space="0" w:color="auto"/>
                <w:right w:val="none" w:sz="0" w:space="0" w:color="auto"/>
              </w:divBdr>
            </w:div>
          </w:divsChild>
        </w:div>
        <w:div w:id="1081680383">
          <w:marLeft w:val="0"/>
          <w:marRight w:val="0"/>
          <w:marTop w:val="0"/>
          <w:marBottom w:val="0"/>
          <w:divBdr>
            <w:top w:val="none" w:sz="0" w:space="0" w:color="auto"/>
            <w:left w:val="none" w:sz="0" w:space="0" w:color="auto"/>
            <w:bottom w:val="none" w:sz="0" w:space="0" w:color="auto"/>
            <w:right w:val="none" w:sz="0" w:space="0" w:color="auto"/>
          </w:divBdr>
          <w:divsChild>
            <w:div w:id="732856230">
              <w:marLeft w:val="0"/>
              <w:marRight w:val="0"/>
              <w:marTop w:val="0"/>
              <w:marBottom w:val="0"/>
              <w:divBdr>
                <w:top w:val="none" w:sz="0" w:space="0" w:color="auto"/>
                <w:left w:val="none" w:sz="0" w:space="0" w:color="auto"/>
                <w:bottom w:val="none" w:sz="0" w:space="0" w:color="auto"/>
                <w:right w:val="none" w:sz="0" w:space="0" w:color="auto"/>
              </w:divBdr>
            </w:div>
          </w:divsChild>
        </w:div>
        <w:div w:id="439882969">
          <w:marLeft w:val="0"/>
          <w:marRight w:val="0"/>
          <w:marTop w:val="0"/>
          <w:marBottom w:val="0"/>
          <w:divBdr>
            <w:top w:val="none" w:sz="0" w:space="0" w:color="auto"/>
            <w:left w:val="none" w:sz="0" w:space="0" w:color="auto"/>
            <w:bottom w:val="none" w:sz="0" w:space="0" w:color="auto"/>
            <w:right w:val="none" w:sz="0" w:space="0" w:color="auto"/>
          </w:divBdr>
          <w:divsChild>
            <w:div w:id="1468930804">
              <w:marLeft w:val="0"/>
              <w:marRight w:val="0"/>
              <w:marTop w:val="0"/>
              <w:marBottom w:val="0"/>
              <w:divBdr>
                <w:top w:val="none" w:sz="0" w:space="0" w:color="auto"/>
                <w:left w:val="none" w:sz="0" w:space="0" w:color="auto"/>
                <w:bottom w:val="none" w:sz="0" w:space="0" w:color="auto"/>
                <w:right w:val="none" w:sz="0" w:space="0" w:color="auto"/>
              </w:divBdr>
            </w:div>
          </w:divsChild>
        </w:div>
        <w:div w:id="446776396">
          <w:marLeft w:val="0"/>
          <w:marRight w:val="0"/>
          <w:marTop w:val="0"/>
          <w:marBottom w:val="0"/>
          <w:divBdr>
            <w:top w:val="none" w:sz="0" w:space="0" w:color="auto"/>
            <w:left w:val="none" w:sz="0" w:space="0" w:color="auto"/>
            <w:bottom w:val="none" w:sz="0" w:space="0" w:color="auto"/>
            <w:right w:val="none" w:sz="0" w:space="0" w:color="auto"/>
          </w:divBdr>
          <w:divsChild>
            <w:div w:id="1548685412">
              <w:marLeft w:val="0"/>
              <w:marRight w:val="0"/>
              <w:marTop w:val="0"/>
              <w:marBottom w:val="0"/>
              <w:divBdr>
                <w:top w:val="none" w:sz="0" w:space="0" w:color="auto"/>
                <w:left w:val="none" w:sz="0" w:space="0" w:color="auto"/>
                <w:bottom w:val="none" w:sz="0" w:space="0" w:color="auto"/>
                <w:right w:val="none" w:sz="0" w:space="0" w:color="auto"/>
              </w:divBdr>
            </w:div>
            <w:div w:id="1196625871">
              <w:marLeft w:val="0"/>
              <w:marRight w:val="0"/>
              <w:marTop w:val="0"/>
              <w:marBottom w:val="0"/>
              <w:divBdr>
                <w:top w:val="none" w:sz="0" w:space="0" w:color="auto"/>
                <w:left w:val="none" w:sz="0" w:space="0" w:color="auto"/>
                <w:bottom w:val="none" w:sz="0" w:space="0" w:color="auto"/>
                <w:right w:val="none" w:sz="0" w:space="0" w:color="auto"/>
              </w:divBdr>
            </w:div>
            <w:div w:id="2093116966">
              <w:marLeft w:val="0"/>
              <w:marRight w:val="0"/>
              <w:marTop w:val="0"/>
              <w:marBottom w:val="0"/>
              <w:divBdr>
                <w:top w:val="none" w:sz="0" w:space="0" w:color="auto"/>
                <w:left w:val="none" w:sz="0" w:space="0" w:color="auto"/>
                <w:bottom w:val="none" w:sz="0" w:space="0" w:color="auto"/>
                <w:right w:val="none" w:sz="0" w:space="0" w:color="auto"/>
              </w:divBdr>
            </w:div>
            <w:div w:id="1219052853">
              <w:marLeft w:val="0"/>
              <w:marRight w:val="0"/>
              <w:marTop w:val="0"/>
              <w:marBottom w:val="0"/>
              <w:divBdr>
                <w:top w:val="none" w:sz="0" w:space="0" w:color="auto"/>
                <w:left w:val="none" w:sz="0" w:space="0" w:color="auto"/>
                <w:bottom w:val="none" w:sz="0" w:space="0" w:color="auto"/>
                <w:right w:val="none" w:sz="0" w:space="0" w:color="auto"/>
              </w:divBdr>
            </w:div>
          </w:divsChild>
        </w:div>
        <w:div w:id="239488432">
          <w:marLeft w:val="0"/>
          <w:marRight w:val="0"/>
          <w:marTop w:val="0"/>
          <w:marBottom w:val="0"/>
          <w:divBdr>
            <w:top w:val="none" w:sz="0" w:space="0" w:color="auto"/>
            <w:left w:val="none" w:sz="0" w:space="0" w:color="auto"/>
            <w:bottom w:val="none" w:sz="0" w:space="0" w:color="auto"/>
            <w:right w:val="none" w:sz="0" w:space="0" w:color="auto"/>
          </w:divBdr>
          <w:divsChild>
            <w:div w:id="10241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054">
      <w:bodyDiv w:val="1"/>
      <w:marLeft w:val="0"/>
      <w:marRight w:val="0"/>
      <w:marTop w:val="0"/>
      <w:marBottom w:val="0"/>
      <w:divBdr>
        <w:top w:val="none" w:sz="0" w:space="0" w:color="auto"/>
        <w:left w:val="none" w:sz="0" w:space="0" w:color="auto"/>
        <w:bottom w:val="none" w:sz="0" w:space="0" w:color="auto"/>
        <w:right w:val="none" w:sz="0" w:space="0" w:color="auto"/>
      </w:divBdr>
    </w:div>
    <w:div w:id="1462067624">
      <w:bodyDiv w:val="1"/>
      <w:marLeft w:val="0"/>
      <w:marRight w:val="0"/>
      <w:marTop w:val="0"/>
      <w:marBottom w:val="0"/>
      <w:divBdr>
        <w:top w:val="none" w:sz="0" w:space="0" w:color="auto"/>
        <w:left w:val="none" w:sz="0" w:space="0" w:color="auto"/>
        <w:bottom w:val="none" w:sz="0" w:space="0" w:color="auto"/>
        <w:right w:val="none" w:sz="0" w:space="0" w:color="auto"/>
      </w:divBdr>
      <w:divsChild>
        <w:div w:id="88699741">
          <w:marLeft w:val="0"/>
          <w:marRight w:val="0"/>
          <w:marTop w:val="0"/>
          <w:marBottom w:val="0"/>
          <w:divBdr>
            <w:top w:val="none" w:sz="0" w:space="0" w:color="auto"/>
            <w:left w:val="none" w:sz="0" w:space="0" w:color="auto"/>
            <w:bottom w:val="none" w:sz="0" w:space="0" w:color="auto"/>
            <w:right w:val="none" w:sz="0" w:space="0" w:color="auto"/>
          </w:divBdr>
          <w:divsChild>
            <w:div w:id="2045716833">
              <w:marLeft w:val="0"/>
              <w:marRight w:val="0"/>
              <w:marTop w:val="0"/>
              <w:marBottom w:val="0"/>
              <w:divBdr>
                <w:top w:val="none" w:sz="0" w:space="0" w:color="auto"/>
                <w:left w:val="none" w:sz="0" w:space="0" w:color="auto"/>
                <w:bottom w:val="none" w:sz="0" w:space="0" w:color="auto"/>
                <w:right w:val="none" w:sz="0" w:space="0" w:color="auto"/>
              </w:divBdr>
              <w:divsChild>
                <w:div w:id="983462379">
                  <w:marLeft w:val="0"/>
                  <w:marRight w:val="0"/>
                  <w:marTop w:val="0"/>
                  <w:marBottom w:val="0"/>
                  <w:divBdr>
                    <w:top w:val="none" w:sz="0" w:space="0" w:color="auto"/>
                    <w:left w:val="none" w:sz="0" w:space="0" w:color="auto"/>
                    <w:bottom w:val="none" w:sz="0" w:space="0" w:color="auto"/>
                    <w:right w:val="none" w:sz="0" w:space="0" w:color="auto"/>
                  </w:divBdr>
                  <w:divsChild>
                    <w:div w:id="1444886353">
                      <w:marLeft w:val="0"/>
                      <w:marRight w:val="0"/>
                      <w:marTop w:val="0"/>
                      <w:marBottom w:val="0"/>
                      <w:divBdr>
                        <w:top w:val="none" w:sz="0" w:space="0" w:color="auto"/>
                        <w:left w:val="none" w:sz="0" w:space="0" w:color="auto"/>
                        <w:bottom w:val="none" w:sz="0" w:space="0" w:color="auto"/>
                        <w:right w:val="none" w:sz="0" w:space="0" w:color="auto"/>
                      </w:divBdr>
                      <w:divsChild>
                        <w:div w:id="1242133117">
                          <w:marLeft w:val="0"/>
                          <w:marRight w:val="0"/>
                          <w:marTop w:val="0"/>
                          <w:marBottom w:val="0"/>
                          <w:divBdr>
                            <w:top w:val="none" w:sz="0" w:space="0" w:color="auto"/>
                            <w:left w:val="none" w:sz="0" w:space="0" w:color="auto"/>
                            <w:bottom w:val="none" w:sz="0" w:space="0" w:color="auto"/>
                            <w:right w:val="none" w:sz="0" w:space="0" w:color="auto"/>
                          </w:divBdr>
                          <w:divsChild>
                            <w:div w:id="17898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4683">
                  <w:marLeft w:val="0"/>
                  <w:marRight w:val="0"/>
                  <w:marTop w:val="0"/>
                  <w:marBottom w:val="0"/>
                  <w:divBdr>
                    <w:top w:val="none" w:sz="0" w:space="0" w:color="auto"/>
                    <w:left w:val="none" w:sz="0" w:space="0" w:color="auto"/>
                    <w:bottom w:val="none" w:sz="0" w:space="0" w:color="auto"/>
                    <w:right w:val="none" w:sz="0" w:space="0" w:color="auto"/>
                  </w:divBdr>
                  <w:divsChild>
                    <w:div w:id="1542131508">
                      <w:marLeft w:val="0"/>
                      <w:marRight w:val="0"/>
                      <w:marTop w:val="0"/>
                      <w:marBottom w:val="0"/>
                      <w:divBdr>
                        <w:top w:val="none" w:sz="0" w:space="0" w:color="auto"/>
                        <w:left w:val="none" w:sz="0" w:space="0" w:color="auto"/>
                        <w:bottom w:val="none" w:sz="0" w:space="0" w:color="auto"/>
                        <w:right w:val="none" w:sz="0" w:space="0" w:color="auto"/>
                      </w:divBdr>
                      <w:divsChild>
                        <w:div w:id="1270116129">
                          <w:marLeft w:val="0"/>
                          <w:marRight w:val="0"/>
                          <w:marTop w:val="0"/>
                          <w:marBottom w:val="0"/>
                          <w:divBdr>
                            <w:top w:val="none" w:sz="0" w:space="0" w:color="auto"/>
                            <w:left w:val="none" w:sz="0" w:space="0" w:color="auto"/>
                            <w:bottom w:val="none" w:sz="0" w:space="0" w:color="auto"/>
                            <w:right w:val="none" w:sz="0" w:space="0" w:color="auto"/>
                          </w:divBdr>
                          <w:divsChild>
                            <w:div w:id="6285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80552">
          <w:marLeft w:val="0"/>
          <w:marRight w:val="0"/>
          <w:marTop w:val="0"/>
          <w:marBottom w:val="0"/>
          <w:divBdr>
            <w:top w:val="none" w:sz="0" w:space="0" w:color="auto"/>
            <w:left w:val="none" w:sz="0" w:space="0" w:color="auto"/>
            <w:bottom w:val="none" w:sz="0" w:space="0" w:color="auto"/>
            <w:right w:val="none" w:sz="0" w:space="0" w:color="auto"/>
          </w:divBdr>
          <w:divsChild>
            <w:div w:id="536896841">
              <w:marLeft w:val="0"/>
              <w:marRight w:val="0"/>
              <w:marTop w:val="0"/>
              <w:marBottom w:val="0"/>
              <w:divBdr>
                <w:top w:val="none" w:sz="0" w:space="0" w:color="auto"/>
                <w:left w:val="none" w:sz="0" w:space="0" w:color="auto"/>
                <w:bottom w:val="none" w:sz="0" w:space="0" w:color="auto"/>
                <w:right w:val="none" w:sz="0" w:space="0" w:color="auto"/>
              </w:divBdr>
            </w:div>
          </w:divsChild>
        </w:div>
        <w:div w:id="1709527261">
          <w:marLeft w:val="0"/>
          <w:marRight w:val="0"/>
          <w:marTop w:val="0"/>
          <w:marBottom w:val="0"/>
          <w:divBdr>
            <w:top w:val="none" w:sz="0" w:space="0" w:color="auto"/>
            <w:left w:val="none" w:sz="0" w:space="0" w:color="auto"/>
            <w:bottom w:val="none" w:sz="0" w:space="0" w:color="auto"/>
            <w:right w:val="none" w:sz="0" w:space="0" w:color="auto"/>
          </w:divBdr>
          <w:divsChild>
            <w:div w:id="19369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5892">
      <w:bodyDiv w:val="1"/>
      <w:marLeft w:val="0"/>
      <w:marRight w:val="0"/>
      <w:marTop w:val="0"/>
      <w:marBottom w:val="0"/>
      <w:divBdr>
        <w:top w:val="none" w:sz="0" w:space="0" w:color="auto"/>
        <w:left w:val="none" w:sz="0" w:space="0" w:color="auto"/>
        <w:bottom w:val="none" w:sz="0" w:space="0" w:color="auto"/>
        <w:right w:val="none" w:sz="0" w:space="0" w:color="auto"/>
      </w:divBdr>
    </w:div>
    <w:div w:id="1820881238">
      <w:bodyDiv w:val="1"/>
      <w:marLeft w:val="0"/>
      <w:marRight w:val="0"/>
      <w:marTop w:val="0"/>
      <w:marBottom w:val="0"/>
      <w:divBdr>
        <w:top w:val="none" w:sz="0" w:space="0" w:color="auto"/>
        <w:left w:val="none" w:sz="0" w:space="0" w:color="auto"/>
        <w:bottom w:val="none" w:sz="0" w:space="0" w:color="auto"/>
        <w:right w:val="none" w:sz="0" w:space="0" w:color="auto"/>
      </w:divBdr>
      <w:divsChild>
        <w:div w:id="1926068752">
          <w:marLeft w:val="0"/>
          <w:marRight w:val="0"/>
          <w:marTop w:val="0"/>
          <w:marBottom w:val="0"/>
          <w:divBdr>
            <w:top w:val="none" w:sz="0" w:space="0" w:color="auto"/>
            <w:left w:val="none" w:sz="0" w:space="0" w:color="auto"/>
            <w:bottom w:val="none" w:sz="0" w:space="0" w:color="auto"/>
            <w:right w:val="none" w:sz="0" w:space="0" w:color="auto"/>
          </w:divBdr>
        </w:div>
      </w:divsChild>
    </w:div>
    <w:div w:id="1911041669">
      <w:bodyDiv w:val="1"/>
      <w:marLeft w:val="0"/>
      <w:marRight w:val="0"/>
      <w:marTop w:val="0"/>
      <w:marBottom w:val="0"/>
      <w:divBdr>
        <w:top w:val="none" w:sz="0" w:space="0" w:color="auto"/>
        <w:left w:val="none" w:sz="0" w:space="0" w:color="auto"/>
        <w:bottom w:val="none" w:sz="0" w:space="0" w:color="auto"/>
        <w:right w:val="none" w:sz="0" w:space="0" w:color="auto"/>
      </w:divBdr>
    </w:div>
    <w:div w:id="1955013286">
      <w:bodyDiv w:val="1"/>
      <w:marLeft w:val="0"/>
      <w:marRight w:val="0"/>
      <w:marTop w:val="0"/>
      <w:marBottom w:val="0"/>
      <w:divBdr>
        <w:top w:val="none" w:sz="0" w:space="0" w:color="auto"/>
        <w:left w:val="none" w:sz="0" w:space="0" w:color="auto"/>
        <w:bottom w:val="none" w:sz="0" w:space="0" w:color="auto"/>
        <w:right w:val="none" w:sz="0" w:space="0" w:color="auto"/>
      </w:divBdr>
      <w:divsChild>
        <w:div w:id="608129250">
          <w:marLeft w:val="0"/>
          <w:marRight w:val="0"/>
          <w:marTop w:val="0"/>
          <w:marBottom w:val="0"/>
          <w:divBdr>
            <w:top w:val="none" w:sz="0" w:space="0" w:color="auto"/>
            <w:left w:val="none" w:sz="0" w:space="0" w:color="auto"/>
            <w:bottom w:val="none" w:sz="0" w:space="0" w:color="auto"/>
            <w:right w:val="none" w:sz="0" w:space="0" w:color="auto"/>
          </w:divBdr>
          <w:divsChild>
            <w:div w:id="13617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wp.org/en/we-act/campaigns/high-level-panel-on-water-valuing-water-initiat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wp.org/en/sdg6sup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2030wrg.org/wp-content/uploads/2020/11/Position-Paper-on-Valuing-Water-in-Bangladesh.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d657b8-8d7b-4b87-9789-691af946d792">
      <UserInfo>
        <DisplayName>Gergana Majercakova</DisplayName>
        <AccountId>18</AccountId>
        <AccountType/>
      </UserInfo>
    </SharedWithUsers>
    <Thematicleader xmlns="e4bb08cd-90d2-4613-bc14-9af2fe4af5c4">
      <UserInfo>
        <DisplayName/>
        <AccountId xsi:nil="true"/>
        <AccountType/>
      </UserInfo>
    </Thematicleader>
    <TaxCatchAll xmlns="9ad657b8-8d7b-4b87-9789-691af946d792" xsi:nil="true"/>
    <lcf76f155ced4ddcb4097134ff3c332f xmlns="e4bb08cd-90d2-4613-bc14-9af2fe4af5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46759C7E34A44AAC0B1B9AF52695EE" ma:contentTypeVersion="18" ma:contentTypeDescription="Create a new document." ma:contentTypeScope="" ma:versionID="62c44046dd9e6084ba7c1f4934802ac3">
  <xsd:schema xmlns:xsd="http://www.w3.org/2001/XMLSchema" xmlns:xs="http://www.w3.org/2001/XMLSchema" xmlns:p="http://schemas.microsoft.com/office/2006/metadata/properties" xmlns:ns2="9ad657b8-8d7b-4b87-9789-691af946d792" xmlns:ns3="e4bb08cd-90d2-4613-bc14-9af2fe4af5c4" targetNamespace="http://schemas.microsoft.com/office/2006/metadata/properties" ma:root="true" ma:fieldsID="d95a3ad8f348f421013aa75a712d786b" ns2:_="" ns3:_="">
    <xsd:import namespace="9ad657b8-8d7b-4b87-9789-691af946d792"/>
    <xsd:import namespace="e4bb08cd-90d2-4613-bc14-9af2fe4af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Thematiclead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57b8-8d7b-4b87-9789-691af946d7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aab2cb-7cd5-4a9e-94fb-5a8ec473b146}" ma:internalName="TaxCatchAll" ma:showField="CatchAllData" ma:web="9ad657b8-8d7b-4b87-9789-691af946d7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b08cd-90d2-4613-bc14-9af2fe4af5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ematicleader" ma:index="21" nillable="true" ma:displayName="Owner" ma:format="Dropdown" ma:list="UserInfo" ma:SharePointGroup="0" ma:internalName="Thematiclea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41e93f-bdbf-457f-9a0e-7bb92134c3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4E483-855D-4BB1-AAF3-55016F36367D}">
  <ds:schemaRefs>
    <ds:schemaRef ds:uri="http://schemas.openxmlformats.org/officeDocument/2006/bibliography"/>
  </ds:schemaRefs>
</ds:datastoreItem>
</file>

<file path=customXml/itemProps2.xml><?xml version="1.0" encoding="utf-8"?>
<ds:datastoreItem xmlns:ds="http://schemas.openxmlformats.org/officeDocument/2006/customXml" ds:itemID="{7BB65D14-2B0A-40C0-AE51-F1C1E26788E6}">
  <ds:schemaRefs>
    <ds:schemaRef ds:uri="http://schemas.microsoft.com/sharepoint/v3/contenttype/forms"/>
  </ds:schemaRefs>
</ds:datastoreItem>
</file>

<file path=customXml/itemProps3.xml><?xml version="1.0" encoding="utf-8"?>
<ds:datastoreItem xmlns:ds="http://schemas.openxmlformats.org/officeDocument/2006/customXml" ds:itemID="{E4157EE0-6DE2-4869-8D17-810A2E15E796}">
  <ds:schemaRefs>
    <ds:schemaRef ds:uri="http://schemas.microsoft.com/office/2006/metadata/properties"/>
    <ds:schemaRef ds:uri="http://schemas.microsoft.com/office/infopath/2007/PartnerControls"/>
    <ds:schemaRef ds:uri="9ad657b8-8d7b-4b87-9789-691af946d792"/>
    <ds:schemaRef ds:uri="e4bb08cd-90d2-4613-bc14-9af2fe4af5c4"/>
  </ds:schemaRefs>
</ds:datastoreItem>
</file>

<file path=customXml/itemProps4.xml><?xml version="1.0" encoding="utf-8"?>
<ds:datastoreItem xmlns:ds="http://schemas.openxmlformats.org/officeDocument/2006/customXml" ds:itemID="{3D5CF78E-88DA-4E10-98D3-AEA04ABE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57b8-8d7b-4b87-9789-691af946d792"/>
    <ds:schemaRef ds:uri="e4bb08cd-90d2-4613-bc14-9af2fe4af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Mekonen, Yonas</dc:creator>
  <cp:keywords/>
  <dc:description/>
  <cp:lastModifiedBy>Colin Herron</cp:lastModifiedBy>
  <cp:revision>9</cp:revision>
  <dcterms:created xsi:type="dcterms:W3CDTF">2022-04-18T14:29:00Z</dcterms:created>
  <dcterms:modified xsi:type="dcterms:W3CDTF">2022-06-16T19:05:00Z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0x0101005846759C7E34A44AAC0B1B9AF52695EE</vt:lpwstr>
  </property>
  <property fmtid="{D5CDD505-2E9C-101B-9397-08002B2CF9AE}" pid="3" name="MediaServiceImageTags">
    <vt:lpwstr/>
  </property>
</Properties>
</file>